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5AEA" w:rsidRPr="00877AE6" w:rsidRDefault="00707317" w:rsidP="000D5AEA">
      <w:pPr>
        <w:spacing w:after="0" w:line="360" w:lineRule="auto"/>
        <w:jc w:val="both"/>
        <w:rPr>
          <w:rFonts w:ascii="Palatino Linotype" w:eastAsia="Calibri" w:hAnsi="Palatino Linotype" w:cs="Arial"/>
          <w:b/>
          <w:bCs/>
          <w:sz w:val="24"/>
          <w:szCs w:val="24"/>
          <w:lang w:eastAsia="es-MX"/>
        </w:rPr>
      </w:pPr>
      <w:bookmarkStart w:id="0" w:name="_GoBack"/>
      <w:bookmarkEnd w:id="0"/>
      <w:r w:rsidRPr="00877AE6">
        <w:rPr>
          <w:rFonts w:ascii="Palatino Linotype" w:eastAsia="Calibri" w:hAnsi="Palatino Linotype" w:cs="Arial"/>
          <w:b/>
          <w:sz w:val="24"/>
          <w:szCs w:val="24"/>
        </w:rPr>
        <w:t>VOTO</w:t>
      </w:r>
      <w:r w:rsidR="000D5AEA" w:rsidRPr="00877AE6">
        <w:rPr>
          <w:rFonts w:ascii="Palatino Linotype" w:eastAsia="Calibri" w:hAnsi="Palatino Linotype" w:cs="Arial"/>
          <w:b/>
          <w:sz w:val="24"/>
          <w:szCs w:val="24"/>
        </w:rPr>
        <w:t xml:space="preserve"> PARTICULAR DEL COMISIONADO JOSÉ GUADALUPE LUNA HERNÁNDEZ EN EL RECURSO DE REVISIÓN </w:t>
      </w:r>
      <w:r w:rsidR="003D1DF8">
        <w:rPr>
          <w:rFonts w:ascii="Palatino Linotype" w:eastAsia="Calibri" w:hAnsi="Palatino Linotype" w:cs="Arial"/>
          <w:b/>
          <w:sz w:val="24"/>
          <w:szCs w:val="24"/>
        </w:rPr>
        <w:t>04069/INFOEM/IP/RR/2018</w:t>
      </w:r>
      <w:r w:rsidR="000D5AEA" w:rsidRPr="00877AE6">
        <w:rPr>
          <w:rFonts w:ascii="Palatino Linotype" w:eastAsia="Calibri" w:hAnsi="Palatino Linotype" w:cs="Arial"/>
          <w:b/>
          <w:sz w:val="24"/>
          <w:szCs w:val="24"/>
        </w:rPr>
        <w:t>.</w:t>
      </w:r>
    </w:p>
    <w:p w:rsidR="000D5AEA" w:rsidRPr="00877AE6" w:rsidRDefault="000D5AEA" w:rsidP="000D5AEA">
      <w:pPr>
        <w:spacing w:after="0" w:line="360" w:lineRule="auto"/>
        <w:jc w:val="both"/>
        <w:rPr>
          <w:rFonts w:ascii="Palatino Linotype" w:eastAsia="Calibri" w:hAnsi="Palatino Linotype" w:cs="Arial"/>
          <w:sz w:val="24"/>
          <w:szCs w:val="24"/>
        </w:rPr>
      </w:pPr>
    </w:p>
    <w:p w:rsidR="00376456" w:rsidRDefault="00E220D0" w:rsidP="00FE083B">
      <w:pPr>
        <w:pStyle w:val="Sinespaciado"/>
        <w:spacing w:line="360" w:lineRule="auto"/>
        <w:jc w:val="both"/>
        <w:rPr>
          <w:rFonts w:ascii="Palatino Linotype" w:eastAsia="Calibri" w:hAnsi="Palatino Linotype" w:cs="Arial"/>
          <w:sz w:val="24"/>
          <w:szCs w:val="24"/>
        </w:rPr>
      </w:pPr>
      <w:r w:rsidRPr="00877AE6">
        <w:rPr>
          <w:rFonts w:ascii="Palatino Linotype" w:eastAsia="Calibri" w:hAnsi="Palatino Linotype" w:cs="Arial"/>
          <w:b/>
          <w:sz w:val="24"/>
          <w:szCs w:val="24"/>
        </w:rPr>
        <w:t>Resumen del voto:</w:t>
      </w:r>
      <w:r w:rsidRPr="00877AE6">
        <w:rPr>
          <w:rFonts w:ascii="Palatino Linotype" w:eastAsia="Calibri" w:hAnsi="Palatino Linotype" w:cs="Arial"/>
          <w:sz w:val="24"/>
          <w:szCs w:val="24"/>
        </w:rPr>
        <w:t xml:space="preserve"> </w:t>
      </w:r>
    </w:p>
    <w:p w:rsidR="00FE083B" w:rsidRDefault="00FE083B" w:rsidP="00FE083B">
      <w:pPr>
        <w:spacing w:line="360" w:lineRule="auto"/>
        <w:jc w:val="both"/>
        <w:rPr>
          <w:rFonts w:ascii="Palatino Linotype" w:hAnsi="Palatino Linotype" w:cs="Arial"/>
        </w:rPr>
      </w:pPr>
    </w:p>
    <w:p w:rsidR="00FE083B" w:rsidRDefault="00FE083B" w:rsidP="00FE083B">
      <w:pPr>
        <w:spacing w:line="360" w:lineRule="auto"/>
        <w:jc w:val="both"/>
        <w:rPr>
          <w:rFonts w:ascii="Palatino Linotype" w:hAnsi="Palatino Linotype" w:cs="Arial"/>
        </w:rPr>
      </w:pPr>
      <w:r w:rsidRPr="007F0A7B">
        <w:rPr>
          <w:rFonts w:ascii="Palatino Linotype" w:hAnsi="Palatino Linotype" w:cs="Arial"/>
        </w:rPr>
        <w:t xml:space="preserve">Para que </w:t>
      </w:r>
      <w:r>
        <w:rPr>
          <w:rFonts w:ascii="Palatino Linotype" w:hAnsi="Palatino Linotype" w:cs="Arial"/>
        </w:rPr>
        <w:t>el Sujeto Obligado</w:t>
      </w:r>
      <w:r w:rsidRPr="007F0A7B">
        <w:rPr>
          <w:rFonts w:ascii="Palatino Linotype" w:hAnsi="Palatino Linotype" w:cs="Arial"/>
        </w:rPr>
        <w:t xml:space="preserve"> </w:t>
      </w:r>
      <w:r>
        <w:rPr>
          <w:rFonts w:ascii="Palatino Linotype" w:hAnsi="Palatino Linotype" w:cs="Arial"/>
        </w:rPr>
        <w:t>determine clasificar la información como reservada</w:t>
      </w:r>
      <w:r w:rsidRPr="007F0A7B">
        <w:rPr>
          <w:rFonts w:ascii="Palatino Linotype" w:hAnsi="Palatino Linotype" w:cs="Arial"/>
        </w:rPr>
        <w:t>, es necesario</w:t>
      </w:r>
      <w:r>
        <w:rPr>
          <w:rFonts w:ascii="Palatino Linotype" w:hAnsi="Palatino Linotype" w:cs="Arial"/>
        </w:rPr>
        <w:t xml:space="preserve"> que éste actualice </w:t>
      </w:r>
      <w:r w:rsidRPr="007F0A7B">
        <w:rPr>
          <w:rFonts w:ascii="Palatino Linotype" w:hAnsi="Palatino Linotype" w:cs="Arial"/>
        </w:rPr>
        <w:t>cuatro requisitos,</w:t>
      </w:r>
      <w:r>
        <w:rPr>
          <w:rFonts w:ascii="Palatino Linotype" w:hAnsi="Palatino Linotype" w:cs="Arial"/>
        </w:rPr>
        <w:t xml:space="preserve"> de los cuales,</w:t>
      </w:r>
      <w:r w:rsidRPr="007F0A7B">
        <w:rPr>
          <w:rFonts w:ascii="Palatino Linotype" w:hAnsi="Palatino Linotype" w:cs="Arial"/>
        </w:rPr>
        <w:t xml:space="preserve"> si alguno de estos faltase, </w:t>
      </w:r>
      <w:r>
        <w:rPr>
          <w:rFonts w:ascii="Palatino Linotype" w:hAnsi="Palatino Linotype" w:cs="Arial"/>
        </w:rPr>
        <w:t>no es procedente su reserva, para esto, es menester que se realice un estudio minucioso de la información</w:t>
      </w:r>
      <w:r w:rsidRPr="009A406D">
        <w:rPr>
          <w:rFonts w:ascii="Palatino Linotype" w:hAnsi="Palatino Linotype" w:cs="Arial"/>
        </w:rPr>
        <w:t xml:space="preserve">, </w:t>
      </w:r>
      <w:r>
        <w:rPr>
          <w:rFonts w:ascii="Palatino Linotype" w:hAnsi="Palatino Linotype" w:cs="Arial"/>
        </w:rPr>
        <w:t>ajustando en todo momento</w:t>
      </w:r>
      <w:r w:rsidRPr="009A406D">
        <w:rPr>
          <w:rFonts w:ascii="Palatino Linotype" w:hAnsi="Palatino Linotype" w:cs="Arial"/>
        </w:rPr>
        <w:t xml:space="preserve"> </w:t>
      </w:r>
      <w:r>
        <w:rPr>
          <w:rFonts w:ascii="Palatino Linotype" w:hAnsi="Palatino Linotype" w:cs="Arial"/>
        </w:rPr>
        <w:t xml:space="preserve">las </w:t>
      </w:r>
      <w:r w:rsidRPr="009A406D">
        <w:rPr>
          <w:rFonts w:ascii="Palatino Linotype" w:hAnsi="Palatino Linotype" w:cs="Arial"/>
        </w:rPr>
        <w:t>circunstancias de modo tiempo y lugar a la hipótesis qu</w:t>
      </w:r>
      <w:r>
        <w:rPr>
          <w:rFonts w:ascii="Palatino Linotype" w:hAnsi="Palatino Linotype" w:cs="Arial"/>
        </w:rPr>
        <w:t xml:space="preserve">e configura la clasificación. </w:t>
      </w:r>
    </w:p>
    <w:p w:rsidR="00FE083B" w:rsidRDefault="00FE083B" w:rsidP="00FE083B">
      <w:pPr>
        <w:spacing w:line="360" w:lineRule="auto"/>
        <w:jc w:val="both"/>
        <w:rPr>
          <w:rFonts w:ascii="Palatino Linotype" w:hAnsi="Palatino Linotype" w:cs="Arial"/>
        </w:rPr>
      </w:pPr>
      <w:r>
        <w:rPr>
          <w:rFonts w:ascii="Palatino Linotype" w:hAnsi="Palatino Linotype" w:cs="Arial"/>
        </w:rPr>
        <w:t xml:space="preserve">Invocar la normatividad donde se prevea la reserva y realizar un estudio de los ordenamientos jurídicos que contienen la figura, es únicamente un ejercicio de argumentación, más no comprende, en estricto sentido un reclamo de derechos subjetivos, una generación de derechos, reclamo de una de las partes u otras que requieran un análisis sigiloso y confidencial del juzgador.  </w:t>
      </w:r>
      <w:r w:rsidRPr="001A2DAB">
        <w:rPr>
          <w:rFonts w:ascii="Palatino Linotype" w:hAnsi="Palatino Linotype" w:cs="Arial"/>
        </w:rPr>
        <w:t xml:space="preserve"> </w:t>
      </w:r>
    </w:p>
    <w:p w:rsidR="00FE083B" w:rsidRDefault="00FE083B" w:rsidP="00FE083B">
      <w:pPr>
        <w:spacing w:line="360" w:lineRule="auto"/>
        <w:jc w:val="both"/>
        <w:rPr>
          <w:rFonts w:ascii="Palatino Linotype" w:hAnsi="Palatino Linotype" w:cs="Arial"/>
        </w:rPr>
      </w:pPr>
      <w:r>
        <w:rPr>
          <w:rFonts w:ascii="Palatino Linotype" w:hAnsi="Palatino Linotype" w:cs="Arial"/>
        </w:rPr>
        <w:t>Por otra parte el Órgano Garante a fin de hacer efectivo el Derecho de Acceso de la Información y a través de las facultades que le confiere la ley, debe determinar la naturaleza de la información que se pretende reservar a través de la celebración de diligencias, que le permitan dar mayor certeza a las resoluciones emitidas.</w:t>
      </w:r>
    </w:p>
    <w:p w:rsidR="00FE083B" w:rsidRPr="00CC0EC5" w:rsidRDefault="00FE083B" w:rsidP="00FE083B">
      <w:pPr>
        <w:spacing w:line="360" w:lineRule="auto"/>
        <w:jc w:val="both"/>
        <w:rPr>
          <w:rFonts w:ascii="Palatino Linotype" w:hAnsi="Palatino Linotype" w:cs="Arial"/>
        </w:rPr>
      </w:pPr>
    </w:p>
    <w:p w:rsidR="00FE083B" w:rsidRPr="00877AE6" w:rsidRDefault="00FE083B" w:rsidP="00FE083B">
      <w:pPr>
        <w:pStyle w:val="Sinespaciado"/>
        <w:spacing w:line="360" w:lineRule="auto"/>
        <w:jc w:val="both"/>
        <w:rPr>
          <w:rFonts w:ascii="Palatino Linotype" w:hAnsi="Palatino Linotype"/>
          <w:color w:val="000000" w:themeColor="text1"/>
          <w:sz w:val="24"/>
          <w:szCs w:val="24"/>
          <w:lang w:eastAsia="es-MX"/>
        </w:rPr>
      </w:pPr>
    </w:p>
    <w:p w:rsidR="00D214EE" w:rsidRPr="00877AE6" w:rsidRDefault="00D214EE" w:rsidP="00376456">
      <w:pPr>
        <w:spacing w:after="0" w:line="360" w:lineRule="auto"/>
        <w:jc w:val="both"/>
        <w:rPr>
          <w:rFonts w:ascii="Palatino Linotype" w:eastAsia="Calibri" w:hAnsi="Palatino Linotype" w:cs="Arial"/>
          <w:sz w:val="24"/>
          <w:szCs w:val="24"/>
        </w:rPr>
      </w:pPr>
    </w:p>
    <w:p w:rsidR="009C382C" w:rsidRPr="00877AE6" w:rsidRDefault="00FE083B" w:rsidP="00C20346">
      <w:pPr>
        <w:pStyle w:val="TtulodeTDC"/>
        <w:spacing w:line="360" w:lineRule="auto"/>
        <w:jc w:val="center"/>
        <w:rPr>
          <w:rFonts w:ascii="Palatino Linotype" w:hAnsi="Palatino Linotype" w:cs="Arial"/>
          <w:b/>
          <w:color w:val="auto"/>
          <w:sz w:val="24"/>
          <w:szCs w:val="24"/>
        </w:rPr>
      </w:pPr>
      <w:r w:rsidRPr="00877AE6">
        <w:rPr>
          <w:rFonts w:ascii="Palatino Linotype" w:hAnsi="Palatino Linotype" w:cs="Arial"/>
          <w:b/>
          <w:color w:val="auto"/>
          <w:sz w:val="24"/>
          <w:szCs w:val="24"/>
        </w:rPr>
        <w:lastRenderedPageBreak/>
        <w:t>ÍNDICE</w:t>
      </w:r>
    </w:p>
    <w:sdt>
      <w:sdtPr>
        <w:rPr>
          <w:rFonts w:ascii="Palatino Linotype" w:hAnsi="Palatino Linotype"/>
          <w:sz w:val="24"/>
          <w:szCs w:val="24"/>
          <w:lang w:val="es-ES"/>
        </w:rPr>
        <w:id w:val="-1628690016"/>
        <w:docPartObj>
          <w:docPartGallery w:val="Table of Contents"/>
          <w:docPartUnique/>
        </w:docPartObj>
      </w:sdtPr>
      <w:sdtEndPr>
        <w:rPr>
          <w:b/>
          <w:bCs/>
        </w:rPr>
      </w:sdtEndPr>
      <w:sdtContent>
        <w:p w:rsidR="00FE083B" w:rsidRPr="00FE083B" w:rsidRDefault="009C382C" w:rsidP="00FE083B">
          <w:pPr>
            <w:pStyle w:val="TDC1"/>
            <w:spacing w:line="480" w:lineRule="auto"/>
            <w:rPr>
              <w:rFonts w:ascii="Palatino Linotype" w:eastAsiaTheme="minorEastAsia" w:hAnsi="Palatino Linotype"/>
              <w:noProof/>
              <w:sz w:val="24"/>
              <w:szCs w:val="24"/>
              <w:lang w:eastAsia="es-MX"/>
            </w:rPr>
          </w:pPr>
          <w:r w:rsidRPr="00FE083B">
            <w:rPr>
              <w:rFonts w:ascii="Palatino Linotype" w:hAnsi="Palatino Linotype"/>
              <w:color w:val="0D0D0D" w:themeColor="text1" w:themeTint="F2"/>
              <w:sz w:val="24"/>
              <w:szCs w:val="24"/>
            </w:rPr>
            <w:fldChar w:fldCharType="begin"/>
          </w:r>
          <w:r w:rsidRPr="00FE083B">
            <w:rPr>
              <w:rFonts w:ascii="Palatino Linotype" w:hAnsi="Palatino Linotype"/>
              <w:color w:val="0D0D0D" w:themeColor="text1" w:themeTint="F2"/>
              <w:sz w:val="24"/>
              <w:szCs w:val="24"/>
            </w:rPr>
            <w:instrText xml:space="preserve"> TOC \o "1-3" \h \z \u </w:instrText>
          </w:r>
          <w:r w:rsidRPr="00FE083B">
            <w:rPr>
              <w:rFonts w:ascii="Palatino Linotype" w:hAnsi="Palatino Linotype"/>
              <w:color w:val="0D0D0D" w:themeColor="text1" w:themeTint="F2"/>
              <w:sz w:val="24"/>
              <w:szCs w:val="24"/>
            </w:rPr>
            <w:fldChar w:fldCharType="separate"/>
          </w:r>
          <w:hyperlink w:anchor="_Toc527994041" w:history="1">
            <w:r w:rsidR="00FE083B" w:rsidRPr="00FE083B">
              <w:rPr>
                <w:rStyle w:val="Hipervnculo"/>
                <w:rFonts w:ascii="Palatino Linotype" w:eastAsia="Times New Roman" w:hAnsi="Palatino Linotype"/>
                <w:b/>
                <w:noProof/>
                <w:sz w:val="24"/>
                <w:szCs w:val="24"/>
              </w:rPr>
              <w:t>I.</w:t>
            </w:r>
            <w:r w:rsidR="00FE083B" w:rsidRPr="00FE083B">
              <w:rPr>
                <w:rFonts w:ascii="Palatino Linotype" w:eastAsiaTheme="minorEastAsia" w:hAnsi="Palatino Linotype"/>
                <w:noProof/>
                <w:sz w:val="24"/>
                <w:szCs w:val="24"/>
                <w:lang w:eastAsia="es-MX"/>
              </w:rPr>
              <w:tab/>
            </w:r>
            <w:r w:rsidR="00FE083B" w:rsidRPr="00FE083B">
              <w:rPr>
                <w:rStyle w:val="Hipervnculo"/>
                <w:rFonts w:ascii="Palatino Linotype" w:eastAsia="Times New Roman" w:hAnsi="Palatino Linotype"/>
                <w:b/>
                <w:noProof/>
                <w:sz w:val="24"/>
                <w:szCs w:val="24"/>
              </w:rPr>
              <w:t>Consideraciones Generales</w:t>
            </w:r>
            <w:r w:rsidR="00FE083B" w:rsidRPr="00FE083B">
              <w:rPr>
                <w:rFonts w:ascii="Palatino Linotype" w:hAnsi="Palatino Linotype"/>
                <w:noProof/>
                <w:webHidden/>
                <w:sz w:val="24"/>
                <w:szCs w:val="24"/>
              </w:rPr>
              <w:tab/>
            </w:r>
            <w:r w:rsidR="00FE083B" w:rsidRPr="00FE083B">
              <w:rPr>
                <w:rFonts w:ascii="Palatino Linotype" w:hAnsi="Palatino Linotype"/>
                <w:noProof/>
                <w:webHidden/>
                <w:sz w:val="24"/>
                <w:szCs w:val="24"/>
              </w:rPr>
              <w:fldChar w:fldCharType="begin"/>
            </w:r>
            <w:r w:rsidR="00FE083B" w:rsidRPr="00FE083B">
              <w:rPr>
                <w:rFonts w:ascii="Palatino Linotype" w:hAnsi="Palatino Linotype"/>
                <w:noProof/>
                <w:webHidden/>
                <w:sz w:val="24"/>
                <w:szCs w:val="24"/>
              </w:rPr>
              <w:instrText xml:space="preserve"> PAGEREF _Toc527994041 \h </w:instrText>
            </w:r>
            <w:r w:rsidR="00FE083B" w:rsidRPr="00FE083B">
              <w:rPr>
                <w:rFonts w:ascii="Palatino Linotype" w:hAnsi="Palatino Linotype"/>
                <w:noProof/>
                <w:webHidden/>
                <w:sz w:val="24"/>
                <w:szCs w:val="24"/>
              </w:rPr>
            </w:r>
            <w:r w:rsidR="00FE083B" w:rsidRPr="00FE083B">
              <w:rPr>
                <w:rFonts w:ascii="Palatino Linotype" w:hAnsi="Palatino Linotype"/>
                <w:noProof/>
                <w:webHidden/>
                <w:sz w:val="24"/>
                <w:szCs w:val="24"/>
              </w:rPr>
              <w:fldChar w:fldCharType="separate"/>
            </w:r>
            <w:r w:rsidR="00B16632">
              <w:rPr>
                <w:rFonts w:ascii="Palatino Linotype" w:hAnsi="Palatino Linotype"/>
                <w:noProof/>
                <w:webHidden/>
                <w:sz w:val="24"/>
                <w:szCs w:val="24"/>
              </w:rPr>
              <w:t>3</w:t>
            </w:r>
            <w:r w:rsidR="00FE083B" w:rsidRPr="00FE083B">
              <w:rPr>
                <w:rFonts w:ascii="Palatino Linotype" w:hAnsi="Palatino Linotype"/>
                <w:noProof/>
                <w:webHidden/>
                <w:sz w:val="24"/>
                <w:szCs w:val="24"/>
              </w:rPr>
              <w:fldChar w:fldCharType="end"/>
            </w:r>
          </w:hyperlink>
        </w:p>
        <w:p w:rsidR="00FE083B" w:rsidRPr="00FE083B" w:rsidRDefault="00390953" w:rsidP="00FE083B">
          <w:pPr>
            <w:pStyle w:val="TDC1"/>
            <w:spacing w:line="480" w:lineRule="auto"/>
            <w:rPr>
              <w:rFonts w:ascii="Palatino Linotype" w:eastAsiaTheme="minorEastAsia" w:hAnsi="Palatino Linotype"/>
              <w:noProof/>
              <w:sz w:val="24"/>
              <w:szCs w:val="24"/>
              <w:lang w:eastAsia="es-MX"/>
            </w:rPr>
          </w:pPr>
          <w:hyperlink w:anchor="_Toc527994042" w:history="1">
            <w:r w:rsidR="00FE083B" w:rsidRPr="00FE083B">
              <w:rPr>
                <w:rStyle w:val="Hipervnculo"/>
                <w:rFonts w:ascii="Palatino Linotype" w:eastAsia="Calibri" w:hAnsi="Palatino Linotype"/>
                <w:b/>
                <w:noProof/>
                <w:sz w:val="24"/>
                <w:szCs w:val="24"/>
                <w:lang w:val="es-ES"/>
              </w:rPr>
              <w:t>II.</w:t>
            </w:r>
            <w:r w:rsidR="00FE083B" w:rsidRPr="00FE083B">
              <w:rPr>
                <w:rFonts w:ascii="Palatino Linotype" w:eastAsiaTheme="minorEastAsia" w:hAnsi="Palatino Linotype"/>
                <w:noProof/>
                <w:sz w:val="24"/>
                <w:szCs w:val="24"/>
                <w:lang w:eastAsia="es-MX"/>
              </w:rPr>
              <w:tab/>
            </w:r>
            <w:r w:rsidR="00FE083B" w:rsidRPr="00FE083B">
              <w:rPr>
                <w:rStyle w:val="Hipervnculo"/>
                <w:rFonts w:ascii="Palatino Linotype" w:eastAsia="Calibri" w:hAnsi="Palatino Linotype"/>
                <w:b/>
                <w:noProof/>
                <w:sz w:val="24"/>
                <w:szCs w:val="24"/>
                <w:lang w:val="es-ES"/>
              </w:rPr>
              <w:t>De los requerimientos planteados en el recurso de revisión.</w:t>
            </w:r>
            <w:r w:rsidR="00FE083B" w:rsidRPr="00FE083B">
              <w:rPr>
                <w:rFonts w:ascii="Palatino Linotype" w:hAnsi="Palatino Linotype"/>
                <w:noProof/>
                <w:webHidden/>
                <w:sz w:val="24"/>
                <w:szCs w:val="24"/>
              </w:rPr>
              <w:tab/>
            </w:r>
            <w:r w:rsidR="00FE083B" w:rsidRPr="00FE083B">
              <w:rPr>
                <w:rFonts w:ascii="Palatino Linotype" w:hAnsi="Palatino Linotype"/>
                <w:noProof/>
                <w:webHidden/>
                <w:sz w:val="24"/>
                <w:szCs w:val="24"/>
              </w:rPr>
              <w:fldChar w:fldCharType="begin"/>
            </w:r>
            <w:r w:rsidR="00FE083B" w:rsidRPr="00FE083B">
              <w:rPr>
                <w:rFonts w:ascii="Palatino Linotype" w:hAnsi="Palatino Linotype"/>
                <w:noProof/>
                <w:webHidden/>
                <w:sz w:val="24"/>
                <w:szCs w:val="24"/>
              </w:rPr>
              <w:instrText xml:space="preserve"> PAGEREF _Toc527994042 \h </w:instrText>
            </w:r>
            <w:r w:rsidR="00FE083B" w:rsidRPr="00FE083B">
              <w:rPr>
                <w:rFonts w:ascii="Palatino Linotype" w:hAnsi="Palatino Linotype"/>
                <w:noProof/>
                <w:webHidden/>
                <w:sz w:val="24"/>
                <w:szCs w:val="24"/>
              </w:rPr>
            </w:r>
            <w:r w:rsidR="00FE083B" w:rsidRPr="00FE083B">
              <w:rPr>
                <w:rFonts w:ascii="Palatino Linotype" w:hAnsi="Palatino Linotype"/>
                <w:noProof/>
                <w:webHidden/>
                <w:sz w:val="24"/>
                <w:szCs w:val="24"/>
              </w:rPr>
              <w:fldChar w:fldCharType="separate"/>
            </w:r>
            <w:r w:rsidR="00B16632">
              <w:rPr>
                <w:rFonts w:ascii="Palatino Linotype" w:hAnsi="Palatino Linotype"/>
                <w:noProof/>
                <w:webHidden/>
                <w:sz w:val="24"/>
                <w:szCs w:val="24"/>
              </w:rPr>
              <w:t>4</w:t>
            </w:r>
            <w:r w:rsidR="00FE083B" w:rsidRPr="00FE083B">
              <w:rPr>
                <w:rFonts w:ascii="Palatino Linotype" w:hAnsi="Palatino Linotype"/>
                <w:noProof/>
                <w:webHidden/>
                <w:sz w:val="24"/>
                <w:szCs w:val="24"/>
              </w:rPr>
              <w:fldChar w:fldCharType="end"/>
            </w:r>
          </w:hyperlink>
        </w:p>
        <w:p w:rsidR="00FE083B" w:rsidRPr="00FE083B" w:rsidRDefault="00390953" w:rsidP="00FE083B">
          <w:pPr>
            <w:pStyle w:val="TDC1"/>
            <w:spacing w:line="480" w:lineRule="auto"/>
            <w:rPr>
              <w:rFonts w:ascii="Palatino Linotype" w:eastAsiaTheme="minorEastAsia" w:hAnsi="Palatino Linotype"/>
              <w:noProof/>
              <w:sz w:val="24"/>
              <w:szCs w:val="24"/>
              <w:lang w:eastAsia="es-MX"/>
            </w:rPr>
          </w:pPr>
          <w:hyperlink w:anchor="_Toc527994043" w:history="1">
            <w:r w:rsidR="00FE083B" w:rsidRPr="00FE083B">
              <w:rPr>
                <w:rStyle w:val="Hipervnculo"/>
                <w:rFonts w:ascii="Palatino Linotype" w:hAnsi="Palatino Linotype"/>
                <w:b/>
                <w:noProof/>
                <w:sz w:val="24"/>
                <w:szCs w:val="24"/>
              </w:rPr>
              <w:t>De la respuesta del Sujeto Obligado.</w:t>
            </w:r>
            <w:r w:rsidR="00FE083B" w:rsidRPr="00FE083B">
              <w:rPr>
                <w:rFonts w:ascii="Palatino Linotype" w:hAnsi="Palatino Linotype"/>
                <w:noProof/>
                <w:webHidden/>
                <w:sz w:val="24"/>
                <w:szCs w:val="24"/>
              </w:rPr>
              <w:tab/>
            </w:r>
            <w:r w:rsidR="00FE083B" w:rsidRPr="00FE083B">
              <w:rPr>
                <w:rFonts w:ascii="Palatino Linotype" w:hAnsi="Palatino Linotype"/>
                <w:noProof/>
                <w:webHidden/>
                <w:sz w:val="24"/>
                <w:szCs w:val="24"/>
              </w:rPr>
              <w:fldChar w:fldCharType="begin"/>
            </w:r>
            <w:r w:rsidR="00FE083B" w:rsidRPr="00FE083B">
              <w:rPr>
                <w:rFonts w:ascii="Palatino Linotype" w:hAnsi="Palatino Linotype"/>
                <w:noProof/>
                <w:webHidden/>
                <w:sz w:val="24"/>
                <w:szCs w:val="24"/>
              </w:rPr>
              <w:instrText xml:space="preserve"> PAGEREF _Toc527994043 \h </w:instrText>
            </w:r>
            <w:r w:rsidR="00FE083B" w:rsidRPr="00FE083B">
              <w:rPr>
                <w:rFonts w:ascii="Palatino Linotype" w:hAnsi="Palatino Linotype"/>
                <w:noProof/>
                <w:webHidden/>
                <w:sz w:val="24"/>
                <w:szCs w:val="24"/>
              </w:rPr>
            </w:r>
            <w:r w:rsidR="00FE083B" w:rsidRPr="00FE083B">
              <w:rPr>
                <w:rFonts w:ascii="Palatino Linotype" w:hAnsi="Palatino Linotype"/>
                <w:noProof/>
                <w:webHidden/>
                <w:sz w:val="24"/>
                <w:szCs w:val="24"/>
              </w:rPr>
              <w:fldChar w:fldCharType="separate"/>
            </w:r>
            <w:r w:rsidR="00B16632">
              <w:rPr>
                <w:rFonts w:ascii="Palatino Linotype" w:hAnsi="Palatino Linotype"/>
                <w:noProof/>
                <w:webHidden/>
                <w:sz w:val="24"/>
                <w:szCs w:val="24"/>
              </w:rPr>
              <w:t>5</w:t>
            </w:r>
            <w:r w:rsidR="00FE083B" w:rsidRPr="00FE083B">
              <w:rPr>
                <w:rFonts w:ascii="Palatino Linotype" w:hAnsi="Palatino Linotype"/>
                <w:noProof/>
                <w:webHidden/>
                <w:sz w:val="24"/>
                <w:szCs w:val="24"/>
              </w:rPr>
              <w:fldChar w:fldCharType="end"/>
            </w:r>
          </w:hyperlink>
        </w:p>
        <w:p w:rsidR="009C382C" w:rsidRPr="00877AE6" w:rsidRDefault="009C382C" w:rsidP="00FE083B">
          <w:pPr>
            <w:spacing w:line="480" w:lineRule="auto"/>
            <w:rPr>
              <w:rFonts w:ascii="Palatino Linotype" w:hAnsi="Palatino Linotype"/>
              <w:sz w:val="24"/>
              <w:szCs w:val="24"/>
            </w:rPr>
          </w:pPr>
          <w:r w:rsidRPr="00FE083B">
            <w:rPr>
              <w:rFonts w:ascii="Palatino Linotype" w:hAnsi="Palatino Linotype"/>
              <w:b/>
              <w:bCs/>
              <w:color w:val="0D0D0D" w:themeColor="text1" w:themeTint="F2"/>
              <w:sz w:val="24"/>
              <w:szCs w:val="24"/>
              <w:lang w:val="es-ES"/>
            </w:rPr>
            <w:fldChar w:fldCharType="end"/>
          </w:r>
        </w:p>
      </w:sdtContent>
    </w:sdt>
    <w:p w:rsidR="008F7805" w:rsidRPr="00877AE6" w:rsidRDefault="008F7805" w:rsidP="008F7805">
      <w:pPr>
        <w:pStyle w:val="Ttulo1"/>
        <w:rPr>
          <w:rFonts w:ascii="Palatino Linotype" w:eastAsia="Times New Roman" w:hAnsi="Palatino Linotype"/>
          <w:b/>
          <w:sz w:val="24"/>
          <w:szCs w:val="24"/>
        </w:rPr>
      </w:pPr>
    </w:p>
    <w:bookmarkStart w:id="1" w:name="_Toc526786187"/>
    <w:bookmarkStart w:id="2" w:name="_Toc527381339"/>
    <w:p w:rsidR="008F7805" w:rsidRPr="00877AE6" w:rsidRDefault="00C20346" w:rsidP="008F7805">
      <w:pPr>
        <w:rPr>
          <w:rFonts w:ascii="Palatino Linotype" w:hAnsi="Palatino Linotype"/>
          <w:sz w:val="24"/>
          <w:szCs w:val="24"/>
        </w:rPr>
      </w:pPr>
      <w:r w:rsidRPr="00877AE6">
        <w:rPr>
          <w:rFonts w:ascii="Palatino Linotype" w:hAnsi="Palatino Linotype"/>
          <w:noProof/>
          <w:sz w:val="24"/>
          <w:szCs w:val="24"/>
          <w:lang w:eastAsia="es-MX"/>
        </w:rPr>
        <mc:AlternateContent>
          <mc:Choice Requires="wps">
            <w:drawing>
              <wp:anchor distT="0" distB="0" distL="114300" distR="114300" simplePos="0" relativeHeight="251661312" behindDoc="0" locked="0" layoutInCell="1" allowOverlap="1" wp14:anchorId="678A4DFD" wp14:editId="3FDEC272">
                <wp:simplePos x="0" y="0"/>
                <wp:positionH relativeFrom="column">
                  <wp:posOffset>27940</wp:posOffset>
                </wp:positionH>
                <wp:positionV relativeFrom="paragraph">
                  <wp:posOffset>9828</wp:posOffset>
                </wp:positionV>
                <wp:extent cx="5369357" cy="4476903"/>
                <wp:effectExtent l="0" t="0" r="22225" b="19050"/>
                <wp:wrapNone/>
                <wp:docPr id="3" name="Conector recto 3"/>
                <wp:cNvGraphicFramePr/>
                <a:graphic xmlns:a="http://schemas.openxmlformats.org/drawingml/2006/main">
                  <a:graphicData uri="http://schemas.microsoft.com/office/word/2010/wordprocessingShape">
                    <wps:wsp>
                      <wps:cNvCnPr/>
                      <wps:spPr>
                        <a:xfrm>
                          <a:off x="0" y="0"/>
                          <a:ext cx="5369357" cy="4476903"/>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0ADC31" id="Conector recto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pt,.75pt" to="425pt,35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" strokecolor="black [3200]" strokeweight="1.5pt">
                <v:stroke joinstyle="miter"/>
              </v:line>
            </w:pict>
          </mc:Fallback>
        </mc:AlternateContent>
      </w:r>
      <w:bookmarkEnd w:id="1"/>
      <w:bookmarkEnd w:id="2"/>
    </w:p>
    <w:p w:rsidR="008F7805" w:rsidRPr="00877AE6" w:rsidRDefault="008F7805" w:rsidP="008F7805">
      <w:pPr>
        <w:rPr>
          <w:rFonts w:ascii="Palatino Linotype" w:hAnsi="Palatino Linotype"/>
          <w:sz w:val="24"/>
          <w:szCs w:val="24"/>
        </w:rPr>
      </w:pPr>
    </w:p>
    <w:p w:rsidR="008F7805" w:rsidRPr="00877AE6" w:rsidRDefault="008F7805" w:rsidP="008F7805">
      <w:pPr>
        <w:rPr>
          <w:rFonts w:ascii="Palatino Linotype" w:hAnsi="Palatino Linotype"/>
          <w:sz w:val="24"/>
          <w:szCs w:val="24"/>
        </w:rPr>
      </w:pPr>
    </w:p>
    <w:p w:rsidR="008F7805" w:rsidRPr="00877AE6" w:rsidRDefault="008F7805" w:rsidP="008F7805">
      <w:pPr>
        <w:rPr>
          <w:rFonts w:ascii="Palatino Linotype" w:hAnsi="Palatino Linotype"/>
          <w:sz w:val="24"/>
          <w:szCs w:val="24"/>
        </w:rPr>
      </w:pPr>
    </w:p>
    <w:p w:rsidR="008F7805" w:rsidRPr="00877AE6" w:rsidRDefault="008F7805" w:rsidP="008F7805">
      <w:pPr>
        <w:rPr>
          <w:rFonts w:ascii="Palatino Linotype" w:hAnsi="Palatino Linotype"/>
          <w:sz w:val="24"/>
          <w:szCs w:val="24"/>
        </w:rPr>
      </w:pPr>
    </w:p>
    <w:p w:rsidR="008F7805" w:rsidRPr="00877AE6" w:rsidRDefault="008F7805" w:rsidP="008F7805">
      <w:pPr>
        <w:rPr>
          <w:rFonts w:ascii="Palatino Linotype" w:hAnsi="Palatino Linotype"/>
          <w:sz w:val="24"/>
          <w:szCs w:val="24"/>
        </w:rPr>
      </w:pPr>
    </w:p>
    <w:p w:rsidR="008F7805" w:rsidRPr="00877AE6" w:rsidRDefault="008F7805" w:rsidP="008F7805">
      <w:pPr>
        <w:rPr>
          <w:rFonts w:ascii="Palatino Linotype" w:hAnsi="Palatino Linotype"/>
          <w:sz w:val="24"/>
          <w:szCs w:val="24"/>
        </w:rPr>
      </w:pPr>
    </w:p>
    <w:p w:rsidR="008F7805" w:rsidRPr="00877AE6" w:rsidRDefault="008F7805" w:rsidP="008F7805">
      <w:pPr>
        <w:rPr>
          <w:rFonts w:ascii="Palatino Linotype" w:hAnsi="Palatino Linotype"/>
          <w:sz w:val="24"/>
          <w:szCs w:val="24"/>
        </w:rPr>
      </w:pPr>
    </w:p>
    <w:p w:rsidR="000C6443" w:rsidRPr="00877AE6" w:rsidRDefault="000C6443" w:rsidP="008F7805">
      <w:pPr>
        <w:rPr>
          <w:rFonts w:ascii="Palatino Linotype" w:hAnsi="Palatino Linotype"/>
          <w:sz w:val="24"/>
          <w:szCs w:val="24"/>
        </w:rPr>
      </w:pPr>
    </w:p>
    <w:p w:rsidR="000C6443" w:rsidRPr="00877AE6" w:rsidRDefault="000C6443" w:rsidP="008F7805">
      <w:pPr>
        <w:rPr>
          <w:rFonts w:ascii="Palatino Linotype" w:hAnsi="Palatino Linotype"/>
          <w:sz w:val="24"/>
          <w:szCs w:val="24"/>
        </w:rPr>
      </w:pPr>
    </w:p>
    <w:p w:rsidR="000C6443" w:rsidRPr="00877AE6" w:rsidRDefault="000C6443" w:rsidP="008F7805">
      <w:pPr>
        <w:rPr>
          <w:rFonts w:ascii="Palatino Linotype" w:hAnsi="Palatino Linotype"/>
          <w:sz w:val="24"/>
          <w:szCs w:val="24"/>
        </w:rPr>
      </w:pPr>
    </w:p>
    <w:p w:rsidR="000C6443" w:rsidRPr="00877AE6" w:rsidRDefault="000C6443" w:rsidP="008F7805">
      <w:pPr>
        <w:rPr>
          <w:rFonts w:ascii="Palatino Linotype" w:hAnsi="Palatino Linotype"/>
          <w:sz w:val="24"/>
          <w:szCs w:val="24"/>
        </w:rPr>
      </w:pPr>
    </w:p>
    <w:p w:rsidR="008F7805" w:rsidRPr="00877AE6" w:rsidRDefault="008F7805" w:rsidP="008F7805">
      <w:pPr>
        <w:rPr>
          <w:rFonts w:ascii="Palatino Linotype" w:hAnsi="Palatino Linotype"/>
          <w:sz w:val="24"/>
          <w:szCs w:val="24"/>
        </w:rPr>
      </w:pPr>
    </w:p>
    <w:p w:rsidR="000D5AEA" w:rsidRPr="00877AE6" w:rsidRDefault="000D5AEA" w:rsidP="00B5044C">
      <w:pPr>
        <w:pStyle w:val="Ttulo1"/>
        <w:numPr>
          <w:ilvl w:val="0"/>
          <w:numId w:val="3"/>
        </w:numPr>
        <w:rPr>
          <w:rFonts w:ascii="Palatino Linotype" w:eastAsia="Times New Roman" w:hAnsi="Palatino Linotype"/>
          <w:b/>
          <w:sz w:val="24"/>
          <w:szCs w:val="24"/>
        </w:rPr>
      </w:pPr>
      <w:bookmarkStart w:id="3" w:name="_Toc527994041"/>
      <w:r w:rsidRPr="00877AE6">
        <w:rPr>
          <w:rFonts w:ascii="Palatino Linotype" w:eastAsia="Times New Roman" w:hAnsi="Palatino Linotype"/>
          <w:b/>
          <w:color w:val="auto"/>
          <w:sz w:val="24"/>
          <w:szCs w:val="24"/>
        </w:rPr>
        <w:lastRenderedPageBreak/>
        <w:t>Consideraciones Generales</w:t>
      </w:r>
      <w:bookmarkEnd w:id="3"/>
    </w:p>
    <w:p w:rsidR="003D1DF8" w:rsidRPr="003D1DF8" w:rsidRDefault="003D1DF8" w:rsidP="003D1DF8">
      <w:pPr>
        <w:spacing w:after="0" w:line="360" w:lineRule="auto"/>
        <w:ind w:left="360"/>
        <w:contextualSpacing/>
        <w:jc w:val="both"/>
        <w:rPr>
          <w:rFonts w:ascii="Palatino Linotype" w:eastAsia="Calibri" w:hAnsi="Palatino Linotype" w:cs="Arial"/>
          <w:sz w:val="24"/>
          <w:szCs w:val="24"/>
        </w:rPr>
      </w:pPr>
    </w:p>
    <w:p w:rsidR="000D5AEA" w:rsidRPr="00877AE6" w:rsidRDefault="00B418D3" w:rsidP="00B5044C">
      <w:pPr>
        <w:numPr>
          <w:ilvl w:val="0"/>
          <w:numId w:val="2"/>
        </w:numPr>
        <w:spacing w:after="0" w:line="360" w:lineRule="auto"/>
        <w:contextualSpacing/>
        <w:jc w:val="both"/>
        <w:rPr>
          <w:rFonts w:ascii="Palatino Linotype" w:eastAsia="Calibri" w:hAnsi="Palatino Linotype" w:cs="Arial"/>
          <w:sz w:val="24"/>
          <w:szCs w:val="24"/>
        </w:rPr>
      </w:pPr>
      <w:r w:rsidRPr="00877AE6">
        <w:rPr>
          <w:rFonts w:ascii="Palatino Linotype" w:eastAsia="Times New Roman" w:hAnsi="Palatino Linotype" w:cs="Arial"/>
          <w:sz w:val="24"/>
          <w:szCs w:val="24"/>
          <w:lang w:val="es-ES_tradnl"/>
        </w:rPr>
        <w:t>He concurrido con mi voto</w:t>
      </w:r>
      <w:r w:rsidR="000D5AEA" w:rsidRPr="00877AE6">
        <w:rPr>
          <w:rFonts w:ascii="Palatino Linotype" w:eastAsia="Times New Roman" w:hAnsi="Palatino Linotype" w:cs="Arial"/>
          <w:sz w:val="24"/>
          <w:szCs w:val="24"/>
          <w:lang w:val="es-ES_tradnl"/>
        </w:rPr>
        <w:t xml:space="preserve"> particular de la presente resolución emitida </w:t>
      </w:r>
      <w:r w:rsidR="000D5AEA" w:rsidRPr="00877AE6">
        <w:rPr>
          <w:rFonts w:ascii="Palatino Linotype" w:eastAsia="Calibri" w:hAnsi="Palatino Linotype" w:cs="Arial"/>
          <w:sz w:val="24"/>
          <w:szCs w:val="24"/>
        </w:rPr>
        <w:t xml:space="preserve">por el Pleno del Instituto de Transparencia, Acceso a la Información Pública y Protección de Datos Personales del Estado de México y Municipios, en su </w:t>
      </w:r>
      <w:r w:rsidR="003D1DF8" w:rsidRPr="00C743FE">
        <w:rPr>
          <w:rFonts w:ascii="Palatino Linotype" w:eastAsia="Calibri" w:hAnsi="Palatino Linotype" w:cs="Arial"/>
          <w:sz w:val="24"/>
          <w:szCs w:val="24"/>
        </w:rPr>
        <w:t>Primera</w:t>
      </w:r>
      <w:r w:rsidR="001759E6" w:rsidRPr="00C743FE">
        <w:rPr>
          <w:rFonts w:ascii="Palatino Linotype" w:eastAsia="Calibri" w:hAnsi="Palatino Linotype" w:cs="Arial"/>
          <w:sz w:val="24"/>
          <w:szCs w:val="24"/>
        </w:rPr>
        <w:t xml:space="preserve"> </w:t>
      </w:r>
      <w:r w:rsidR="004137A7" w:rsidRPr="00C743FE">
        <w:rPr>
          <w:rFonts w:ascii="Palatino Linotype" w:eastAsia="Calibri" w:hAnsi="Palatino Linotype" w:cs="Arial"/>
          <w:sz w:val="24"/>
          <w:szCs w:val="24"/>
        </w:rPr>
        <w:t xml:space="preserve">Sesión </w:t>
      </w:r>
      <w:r w:rsidR="004B0239" w:rsidRPr="00C743FE">
        <w:rPr>
          <w:rFonts w:ascii="Palatino Linotype" w:eastAsia="Calibri" w:hAnsi="Palatino Linotype" w:cs="Arial"/>
          <w:sz w:val="24"/>
          <w:szCs w:val="24"/>
        </w:rPr>
        <w:t xml:space="preserve">Ordinaria </w:t>
      </w:r>
      <w:r w:rsidR="004137A7" w:rsidRPr="00C743FE">
        <w:rPr>
          <w:rFonts w:ascii="Palatino Linotype" w:eastAsia="Calibri" w:hAnsi="Palatino Linotype" w:cs="Arial"/>
          <w:sz w:val="24"/>
          <w:szCs w:val="24"/>
        </w:rPr>
        <w:t xml:space="preserve">celebrada el </w:t>
      </w:r>
      <w:r w:rsidR="004B0239" w:rsidRPr="00C743FE">
        <w:rPr>
          <w:rFonts w:ascii="Palatino Linotype" w:eastAsia="Calibri" w:hAnsi="Palatino Linotype" w:cs="Arial"/>
          <w:sz w:val="24"/>
          <w:szCs w:val="24"/>
        </w:rPr>
        <w:t xml:space="preserve">del día </w:t>
      </w:r>
      <w:r w:rsidR="003D1DF8" w:rsidRPr="00C743FE">
        <w:rPr>
          <w:rFonts w:ascii="Palatino Linotype" w:eastAsia="Calibri" w:hAnsi="Palatino Linotype" w:cs="Arial"/>
          <w:sz w:val="24"/>
          <w:szCs w:val="24"/>
        </w:rPr>
        <w:t>nueve</w:t>
      </w:r>
      <w:r w:rsidR="004B0239" w:rsidRPr="00C743FE">
        <w:rPr>
          <w:rFonts w:ascii="Palatino Linotype" w:eastAsia="Calibri" w:hAnsi="Palatino Linotype" w:cs="Arial"/>
          <w:sz w:val="24"/>
          <w:szCs w:val="24"/>
        </w:rPr>
        <w:t xml:space="preserve"> </w:t>
      </w:r>
      <w:r w:rsidR="005E38D6" w:rsidRPr="00C743FE">
        <w:rPr>
          <w:rFonts w:ascii="Palatino Linotype" w:eastAsia="Calibri" w:hAnsi="Palatino Linotype" w:cs="Arial"/>
          <w:sz w:val="24"/>
          <w:szCs w:val="24"/>
        </w:rPr>
        <w:t>(</w:t>
      </w:r>
      <w:r w:rsidR="003D1DF8" w:rsidRPr="00C743FE">
        <w:rPr>
          <w:rFonts w:ascii="Palatino Linotype" w:eastAsia="Calibri" w:hAnsi="Palatino Linotype" w:cs="Arial"/>
          <w:sz w:val="24"/>
          <w:szCs w:val="24"/>
        </w:rPr>
        <w:t>09</w:t>
      </w:r>
      <w:r w:rsidR="004137A7" w:rsidRPr="00C743FE">
        <w:rPr>
          <w:rFonts w:ascii="Palatino Linotype" w:eastAsia="Calibri" w:hAnsi="Palatino Linotype" w:cs="Arial"/>
          <w:sz w:val="24"/>
          <w:szCs w:val="24"/>
        </w:rPr>
        <w:t>)</w:t>
      </w:r>
      <w:r w:rsidR="004B0239" w:rsidRPr="00877AE6">
        <w:rPr>
          <w:rFonts w:ascii="Palatino Linotype" w:eastAsia="Calibri" w:hAnsi="Palatino Linotype" w:cs="Arial"/>
          <w:sz w:val="24"/>
          <w:szCs w:val="24"/>
        </w:rPr>
        <w:t xml:space="preserve"> de</w:t>
      </w:r>
      <w:r w:rsidR="004137A7" w:rsidRPr="00877AE6">
        <w:rPr>
          <w:rFonts w:ascii="Palatino Linotype" w:eastAsia="Calibri" w:hAnsi="Palatino Linotype" w:cs="Arial"/>
          <w:sz w:val="24"/>
          <w:szCs w:val="24"/>
        </w:rPr>
        <w:t xml:space="preserve"> </w:t>
      </w:r>
      <w:r w:rsidR="003D1DF8">
        <w:rPr>
          <w:rFonts w:ascii="Palatino Linotype" w:eastAsia="Calibri" w:hAnsi="Palatino Linotype" w:cs="Arial"/>
          <w:sz w:val="24"/>
          <w:szCs w:val="24"/>
        </w:rPr>
        <w:t>enero</w:t>
      </w:r>
      <w:r w:rsidR="004137A7" w:rsidRPr="00877AE6">
        <w:rPr>
          <w:rFonts w:ascii="Palatino Linotype" w:eastAsia="Calibri" w:hAnsi="Palatino Linotype" w:cs="Arial"/>
          <w:sz w:val="24"/>
          <w:szCs w:val="24"/>
        </w:rPr>
        <w:t xml:space="preserve"> de </w:t>
      </w:r>
      <w:r w:rsidR="003D1DF8">
        <w:rPr>
          <w:rFonts w:ascii="Palatino Linotype" w:eastAsia="Calibri" w:hAnsi="Palatino Linotype" w:cs="Arial"/>
          <w:sz w:val="24"/>
          <w:szCs w:val="24"/>
        </w:rPr>
        <w:t>la presente</w:t>
      </w:r>
      <w:r w:rsidR="00032D26" w:rsidRPr="00877AE6">
        <w:rPr>
          <w:rFonts w:ascii="Palatino Linotype" w:eastAsia="Calibri" w:hAnsi="Palatino Linotype" w:cs="Arial"/>
          <w:sz w:val="24"/>
          <w:szCs w:val="24"/>
        </w:rPr>
        <w:t xml:space="preserve"> anualidad</w:t>
      </w:r>
      <w:r w:rsidR="004B0239" w:rsidRPr="00877AE6">
        <w:rPr>
          <w:rFonts w:ascii="Palatino Linotype" w:eastAsia="Calibri" w:hAnsi="Palatino Linotype" w:cs="Arial"/>
          <w:sz w:val="24"/>
          <w:szCs w:val="24"/>
        </w:rPr>
        <w:t>, en el recurso de revisión</w:t>
      </w:r>
      <w:r w:rsidR="000D5AEA" w:rsidRPr="00877AE6">
        <w:rPr>
          <w:rFonts w:ascii="Palatino Linotype" w:eastAsia="Calibri" w:hAnsi="Palatino Linotype" w:cs="Arial"/>
          <w:sz w:val="24"/>
          <w:szCs w:val="24"/>
        </w:rPr>
        <w:t xml:space="preserve"> interpuesto </w:t>
      </w:r>
      <w:r w:rsidR="004B0239" w:rsidRPr="00877AE6">
        <w:rPr>
          <w:rFonts w:ascii="Palatino Linotype" w:eastAsia="Calibri" w:hAnsi="Palatino Linotype" w:cs="Arial"/>
          <w:sz w:val="24"/>
          <w:szCs w:val="24"/>
        </w:rPr>
        <w:t>en contra de la respuesta del</w:t>
      </w:r>
      <w:r w:rsidR="00E469EB" w:rsidRPr="00877AE6">
        <w:rPr>
          <w:rFonts w:ascii="Palatino Linotype" w:eastAsia="Times New Roman" w:hAnsi="Palatino Linotype" w:cs="Arial"/>
          <w:b/>
          <w:sz w:val="24"/>
          <w:szCs w:val="24"/>
          <w:lang w:val="es-ES" w:eastAsia="es-ES"/>
        </w:rPr>
        <w:t xml:space="preserve"> </w:t>
      </w:r>
      <w:r w:rsidR="003D1DF8">
        <w:rPr>
          <w:rFonts w:ascii="Palatino Linotype" w:hAnsi="Palatino Linotype" w:cs="Arial"/>
          <w:b/>
          <w:sz w:val="24"/>
          <w:szCs w:val="24"/>
        </w:rPr>
        <w:t>Ayuntamiento de Naucalpan de Juárez</w:t>
      </w:r>
      <w:r w:rsidR="00E469EB" w:rsidRPr="00877AE6">
        <w:rPr>
          <w:rFonts w:ascii="Palatino Linotype" w:eastAsia="Times New Roman" w:hAnsi="Palatino Linotype" w:cs="Arial"/>
          <w:b/>
          <w:sz w:val="24"/>
          <w:szCs w:val="24"/>
          <w:lang w:val="es-ES" w:eastAsia="es-ES"/>
        </w:rPr>
        <w:t>,</w:t>
      </w:r>
      <w:r w:rsidR="000D5AEA" w:rsidRPr="00877AE6">
        <w:rPr>
          <w:rFonts w:ascii="Palatino Linotype" w:eastAsia="Calibri" w:hAnsi="Palatino Linotype" w:cs="Arial"/>
          <w:b/>
          <w:sz w:val="24"/>
          <w:szCs w:val="24"/>
        </w:rPr>
        <w:t xml:space="preserve"> </w:t>
      </w:r>
      <w:r w:rsidR="000D5AEA" w:rsidRPr="00877AE6">
        <w:rPr>
          <w:rFonts w:ascii="Palatino Linotype" w:eastAsia="Calibri" w:hAnsi="Palatino Linotype" w:cs="Arial"/>
          <w:sz w:val="24"/>
          <w:szCs w:val="24"/>
        </w:rPr>
        <w:t>pro</w:t>
      </w:r>
      <w:r w:rsidR="00902FFF" w:rsidRPr="00877AE6">
        <w:rPr>
          <w:rFonts w:ascii="Palatino Linotype" w:eastAsia="Calibri" w:hAnsi="Palatino Linotype" w:cs="Arial"/>
          <w:sz w:val="24"/>
          <w:szCs w:val="24"/>
        </w:rPr>
        <w:t xml:space="preserve">cedimiento que le fue asignado </w:t>
      </w:r>
      <w:r w:rsidR="00581E2F" w:rsidRPr="00877AE6">
        <w:rPr>
          <w:rFonts w:ascii="Palatino Linotype" w:eastAsia="Calibri" w:hAnsi="Palatino Linotype" w:cs="Arial"/>
          <w:sz w:val="24"/>
          <w:szCs w:val="24"/>
        </w:rPr>
        <w:t>e</w:t>
      </w:r>
      <w:r w:rsidR="000D5AEA" w:rsidRPr="00877AE6">
        <w:rPr>
          <w:rFonts w:ascii="Palatino Linotype" w:eastAsia="Calibri" w:hAnsi="Palatino Linotype" w:cs="Arial"/>
          <w:sz w:val="24"/>
          <w:szCs w:val="24"/>
        </w:rPr>
        <w:t>l número</w:t>
      </w:r>
      <w:r w:rsidR="004B0239" w:rsidRPr="00877AE6">
        <w:rPr>
          <w:rFonts w:ascii="Palatino Linotype" w:eastAsia="Calibri" w:hAnsi="Palatino Linotype" w:cs="Arial"/>
          <w:sz w:val="24"/>
          <w:szCs w:val="24"/>
        </w:rPr>
        <w:t xml:space="preserve"> de expediente </w:t>
      </w:r>
      <w:r w:rsidR="003D1DF8">
        <w:rPr>
          <w:rFonts w:ascii="Palatino Linotype" w:hAnsi="Palatino Linotype"/>
          <w:b/>
          <w:sz w:val="24"/>
          <w:szCs w:val="24"/>
        </w:rPr>
        <w:t>04069/INFOEM/IP/RR/2018</w:t>
      </w:r>
      <w:r w:rsidR="000D5AEA" w:rsidRPr="00877AE6">
        <w:rPr>
          <w:rFonts w:ascii="Palatino Linotype" w:eastAsia="Calibri" w:hAnsi="Palatino Linotype" w:cs="Arial"/>
          <w:b/>
          <w:sz w:val="24"/>
          <w:szCs w:val="24"/>
        </w:rPr>
        <w:t>.</w:t>
      </w:r>
    </w:p>
    <w:p w:rsidR="000D5AEA" w:rsidRPr="00877AE6" w:rsidRDefault="000D5AEA" w:rsidP="000D5AEA">
      <w:pPr>
        <w:spacing w:after="0" w:line="360" w:lineRule="auto"/>
        <w:ind w:left="426"/>
        <w:contextualSpacing/>
        <w:jc w:val="both"/>
        <w:rPr>
          <w:rFonts w:ascii="Palatino Linotype" w:eastAsia="Calibri" w:hAnsi="Palatino Linotype" w:cs="Arial"/>
          <w:sz w:val="24"/>
          <w:szCs w:val="24"/>
        </w:rPr>
      </w:pPr>
    </w:p>
    <w:p w:rsidR="003D1DF8" w:rsidRPr="003D1DF8" w:rsidRDefault="000D5AEA" w:rsidP="00D00AD3">
      <w:pPr>
        <w:numPr>
          <w:ilvl w:val="0"/>
          <w:numId w:val="2"/>
        </w:numPr>
        <w:spacing w:after="0" w:line="360" w:lineRule="auto"/>
        <w:contextualSpacing/>
        <w:jc w:val="both"/>
        <w:rPr>
          <w:rFonts w:ascii="Palatino Linotype" w:hAnsi="Palatino Linotype"/>
          <w:sz w:val="24"/>
          <w:szCs w:val="24"/>
        </w:rPr>
      </w:pPr>
      <w:r w:rsidRPr="003D1DF8">
        <w:rPr>
          <w:rFonts w:ascii="Palatino Linotype" w:eastAsia="Calibri" w:hAnsi="Palatino Linotype" w:cs="Arial"/>
          <w:sz w:val="24"/>
          <w:szCs w:val="24"/>
        </w:rPr>
        <w:t>L</w:t>
      </w:r>
      <w:r w:rsidR="004B0239" w:rsidRPr="003D1DF8">
        <w:rPr>
          <w:rFonts w:ascii="Palatino Linotype" w:eastAsia="Calibri" w:hAnsi="Palatino Linotype" w:cs="Arial"/>
          <w:sz w:val="24"/>
          <w:szCs w:val="24"/>
        </w:rPr>
        <w:t xml:space="preserve">a resolución </w:t>
      </w:r>
      <w:r w:rsidR="00362134" w:rsidRPr="003D1DF8">
        <w:rPr>
          <w:rFonts w:ascii="Palatino Linotype" w:eastAsia="Calibri" w:hAnsi="Palatino Linotype" w:cs="Arial"/>
          <w:sz w:val="24"/>
          <w:szCs w:val="24"/>
        </w:rPr>
        <w:t>determino</w:t>
      </w:r>
      <w:r w:rsidR="00362134" w:rsidRPr="003D1DF8">
        <w:rPr>
          <w:rFonts w:ascii="Palatino Linotype" w:hAnsi="Palatino Linotype" w:cs="Arial"/>
          <w:sz w:val="24"/>
          <w:szCs w:val="24"/>
          <w:lang w:val="es-ES_tradnl"/>
        </w:rPr>
        <w:t xml:space="preserve">, </w:t>
      </w:r>
      <w:r w:rsidR="00FE083B" w:rsidRPr="003D1DF8">
        <w:rPr>
          <w:rFonts w:ascii="Palatino Linotype" w:hAnsi="Palatino Linotype" w:cs="Arial"/>
          <w:sz w:val="24"/>
          <w:szCs w:val="24"/>
          <w:lang w:val="es-ES_tradnl"/>
        </w:rPr>
        <w:t xml:space="preserve">que </w:t>
      </w:r>
      <w:r w:rsidR="00FE083B" w:rsidRPr="003D1DF8">
        <w:rPr>
          <w:rFonts w:ascii="Palatino Linotype" w:hAnsi="Palatino Linotype"/>
          <w:sz w:val="24"/>
          <w:szCs w:val="24"/>
        </w:rPr>
        <w:t>el S</w:t>
      </w:r>
      <w:r w:rsidR="004505EE" w:rsidRPr="003D1DF8">
        <w:rPr>
          <w:rFonts w:ascii="Palatino Linotype" w:hAnsi="Palatino Linotype"/>
          <w:sz w:val="24"/>
          <w:szCs w:val="24"/>
        </w:rPr>
        <w:t xml:space="preserve">ujeto </w:t>
      </w:r>
      <w:r w:rsidR="00FE083B" w:rsidRPr="003D1DF8">
        <w:rPr>
          <w:rFonts w:ascii="Palatino Linotype" w:hAnsi="Palatino Linotype"/>
          <w:sz w:val="24"/>
          <w:szCs w:val="24"/>
        </w:rPr>
        <w:t>O</w:t>
      </w:r>
      <w:r w:rsidR="00343BFF">
        <w:rPr>
          <w:rFonts w:ascii="Palatino Linotype" w:hAnsi="Palatino Linotype"/>
          <w:sz w:val="24"/>
          <w:szCs w:val="24"/>
        </w:rPr>
        <w:t>bligado haga</w:t>
      </w:r>
      <w:r w:rsidR="004505EE" w:rsidRPr="003D1DF8">
        <w:rPr>
          <w:rFonts w:ascii="Palatino Linotype" w:hAnsi="Palatino Linotype"/>
          <w:sz w:val="24"/>
          <w:szCs w:val="24"/>
        </w:rPr>
        <w:t xml:space="preserve"> entrega</w:t>
      </w:r>
      <w:r w:rsidR="003D1DF8" w:rsidRPr="003D1DF8">
        <w:rPr>
          <w:rFonts w:ascii="Palatino Linotype" w:hAnsi="Palatino Linotype"/>
          <w:sz w:val="24"/>
          <w:szCs w:val="24"/>
        </w:rPr>
        <w:t xml:space="preserve"> </w:t>
      </w:r>
      <w:r w:rsidR="003D1DF8" w:rsidRPr="003D1DF8">
        <w:rPr>
          <w:rFonts w:ascii="Palatino Linotype" w:hAnsi="Palatino Linotype"/>
          <w:sz w:val="24"/>
          <w:szCs w:val="24"/>
          <w:lang w:val="es-ES"/>
        </w:rPr>
        <w:t>al recurrente en copias certificadas sin costo, en versión pública</w:t>
      </w:r>
      <w:r w:rsidR="003D1DF8" w:rsidRPr="003D1DF8">
        <w:rPr>
          <w:rFonts w:ascii="Palatino Linotype" w:hAnsi="Palatino Linotype"/>
          <w:sz w:val="24"/>
          <w:szCs w:val="24"/>
        </w:rPr>
        <w:t>, de ser procedente en versión pública de lo siguiente:</w:t>
      </w:r>
    </w:p>
    <w:p w:rsidR="003D1DF8" w:rsidRPr="003E4D44" w:rsidRDefault="003D1DF8" w:rsidP="003D1DF8">
      <w:pPr>
        <w:numPr>
          <w:ilvl w:val="0"/>
          <w:numId w:val="42"/>
        </w:numPr>
        <w:spacing w:before="240" w:after="240" w:line="360" w:lineRule="auto"/>
        <w:ind w:left="1134"/>
        <w:jc w:val="both"/>
        <w:rPr>
          <w:rFonts w:ascii="Palatino Linotype" w:hAnsi="Palatino Linotype"/>
        </w:rPr>
      </w:pPr>
      <w:r w:rsidRPr="003E4D44">
        <w:rPr>
          <w:rFonts w:ascii="Palatino Linotype" w:hAnsi="Palatino Linotype"/>
          <w:i/>
        </w:rPr>
        <w:t>Contratos de comodato para la entrega de un predio a las organizaciones vecinales, ubicado en la esquina de acueducto Cocoyoc y Avenida Circunvalación poniente del Fraccionamiento Vista del Valle.</w:t>
      </w:r>
    </w:p>
    <w:p w:rsidR="003D1DF8" w:rsidRPr="003D1DF8" w:rsidRDefault="003D1DF8" w:rsidP="003D1DF8">
      <w:pPr>
        <w:numPr>
          <w:ilvl w:val="0"/>
          <w:numId w:val="42"/>
        </w:numPr>
        <w:spacing w:before="240" w:after="240" w:line="360" w:lineRule="auto"/>
        <w:ind w:left="1134"/>
        <w:jc w:val="both"/>
        <w:rPr>
          <w:rFonts w:ascii="Palatino Linotype" w:hAnsi="Palatino Linotype"/>
        </w:rPr>
      </w:pPr>
      <w:r w:rsidRPr="003E4D44">
        <w:rPr>
          <w:rFonts w:ascii="Palatino Linotype" w:hAnsi="Palatino Linotype"/>
          <w:i/>
        </w:rPr>
        <w:t>Contratos de Comodato a partir del año 1976 al treinta de agosto del dos mil dieciocho</w:t>
      </w:r>
      <w:r w:rsidRPr="003E4D44">
        <w:rPr>
          <w:rFonts w:ascii="Palatino Linotype" w:hAnsi="Palatino Linotype"/>
        </w:rPr>
        <w:t xml:space="preserve">. </w:t>
      </w:r>
    </w:p>
    <w:p w:rsidR="003D1DF8" w:rsidRPr="003D1DF8" w:rsidRDefault="003D1DF8" w:rsidP="003D1DF8">
      <w:pPr>
        <w:spacing w:after="0" w:line="360" w:lineRule="auto"/>
        <w:ind w:left="360"/>
        <w:contextualSpacing/>
        <w:jc w:val="both"/>
        <w:rPr>
          <w:rFonts w:ascii="Palatino Linotype" w:hAnsi="Palatino Linotype"/>
          <w:lang w:val="es-ES_tradnl"/>
        </w:rPr>
      </w:pPr>
    </w:p>
    <w:p w:rsidR="003D1DF8" w:rsidRPr="003D1DF8" w:rsidRDefault="003D1DF8" w:rsidP="003D1DF8">
      <w:pPr>
        <w:numPr>
          <w:ilvl w:val="0"/>
          <w:numId w:val="2"/>
        </w:numPr>
        <w:spacing w:after="0" w:line="360" w:lineRule="auto"/>
        <w:ind w:left="357" w:hanging="357"/>
        <w:contextualSpacing/>
        <w:jc w:val="both"/>
        <w:rPr>
          <w:rFonts w:ascii="Palatino Linotype" w:hAnsi="Palatino Linotype"/>
          <w:sz w:val="24"/>
          <w:szCs w:val="24"/>
          <w:lang w:val="es-ES_tradnl"/>
        </w:rPr>
      </w:pPr>
      <w:r w:rsidRPr="003D1DF8">
        <w:rPr>
          <w:rFonts w:ascii="Palatino Linotype" w:eastAsia="Calibri" w:hAnsi="Palatino Linotype" w:cs="Arial"/>
          <w:sz w:val="24"/>
          <w:szCs w:val="24"/>
        </w:rPr>
        <w:t>Asimismo, se especificó que para el caso de que se actualice alguna</w:t>
      </w:r>
      <w:r w:rsidRPr="003D1DF8">
        <w:rPr>
          <w:rFonts w:ascii="Palatino Linotype" w:hAnsi="Palatino Linotype"/>
          <w:sz w:val="24"/>
          <w:szCs w:val="24"/>
        </w:rPr>
        <w:t xml:space="preserve"> causal de reserva contemplada en el artículo 140 de la Ley de Transparencia vigente, </w:t>
      </w:r>
      <w:r w:rsidRPr="003D1DF8">
        <w:rPr>
          <w:rFonts w:ascii="Palatino Linotype" w:hAnsi="Palatino Linotype"/>
          <w:bCs/>
          <w:sz w:val="24"/>
          <w:szCs w:val="24"/>
        </w:rPr>
        <w:t xml:space="preserve">el Sujeto Obligado deberá emitir el acuerdo debidamente fundado y motivado, en </w:t>
      </w:r>
      <w:r w:rsidRPr="003D1DF8">
        <w:rPr>
          <w:rFonts w:ascii="Palatino Linotype" w:hAnsi="Palatino Linotype"/>
          <w:bCs/>
          <w:sz w:val="24"/>
          <w:szCs w:val="24"/>
        </w:rPr>
        <w:lastRenderedPageBreak/>
        <w:t>términos de lo dispuesto por los artículos 47, 49 fracción VIII, 122, 125, 128, 129, 131, 132 fracción II, 133, 134, 140 y 141 de la Ley de Transparencia y Acceso a la Información Pública del Estado de México y Municipios</w:t>
      </w:r>
      <w:r w:rsidRPr="003D1DF8">
        <w:rPr>
          <w:rFonts w:ascii="Palatino Linotype" w:eastAsia="Calibri" w:hAnsi="Palatino Linotype" w:cs="Arial"/>
          <w:sz w:val="24"/>
          <w:szCs w:val="24"/>
          <w:lang w:val="es-ES_tradnl"/>
        </w:rPr>
        <w:t>.</w:t>
      </w:r>
    </w:p>
    <w:p w:rsidR="003D1DF8" w:rsidRPr="003D1DF8" w:rsidRDefault="003D1DF8" w:rsidP="003D1DF8">
      <w:pPr>
        <w:spacing w:after="0" w:line="360" w:lineRule="auto"/>
        <w:ind w:left="360"/>
        <w:contextualSpacing/>
        <w:jc w:val="both"/>
        <w:rPr>
          <w:rFonts w:ascii="Palatino Linotype" w:hAnsi="Palatino Linotype" w:cs="Arial"/>
          <w:bCs/>
          <w:sz w:val="24"/>
          <w:szCs w:val="24"/>
          <w:shd w:val="clear" w:color="auto" w:fill="FFFFFF"/>
        </w:rPr>
      </w:pPr>
    </w:p>
    <w:p w:rsidR="009C382C" w:rsidRPr="00877AE6" w:rsidRDefault="009C382C" w:rsidP="00B5044C">
      <w:pPr>
        <w:pStyle w:val="Ttulo1"/>
        <w:numPr>
          <w:ilvl w:val="0"/>
          <w:numId w:val="3"/>
        </w:numPr>
        <w:ind w:hanging="654"/>
        <w:rPr>
          <w:rFonts w:ascii="Palatino Linotype" w:eastAsia="Calibri" w:hAnsi="Palatino Linotype"/>
          <w:b/>
          <w:color w:val="auto"/>
          <w:sz w:val="24"/>
          <w:szCs w:val="24"/>
          <w:lang w:val="es-ES"/>
        </w:rPr>
      </w:pPr>
      <w:bookmarkStart w:id="4" w:name="_Toc527994042"/>
      <w:r w:rsidRPr="00877AE6">
        <w:rPr>
          <w:rFonts w:ascii="Palatino Linotype" w:eastAsia="Calibri" w:hAnsi="Palatino Linotype"/>
          <w:b/>
          <w:color w:val="auto"/>
          <w:sz w:val="24"/>
          <w:szCs w:val="24"/>
          <w:lang w:val="es-ES"/>
        </w:rPr>
        <w:t>De los requerimientos planteados en el recurso de revisión.</w:t>
      </w:r>
      <w:bookmarkEnd w:id="4"/>
    </w:p>
    <w:p w:rsidR="001744A9" w:rsidRPr="00877AE6" w:rsidRDefault="001744A9" w:rsidP="001744A9">
      <w:pPr>
        <w:pStyle w:val="Prrafodelista"/>
        <w:rPr>
          <w:rFonts w:ascii="Palatino Linotype" w:eastAsia="Calibri" w:hAnsi="Palatino Linotype" w:cs="Arial"/>
          <w:sz w:val="24"/>
          <w:szCs w:val="24"/>
          <w:lang w:val="es-ES"/>
        </w:rPr>
      </w:pPr>
    </w:p>
    <w:p w:rsidR="00D70E0E" w:rsidRPr="00877AE6" w:rsidRDefault="009C382C" w:rsidP="00B5044C">
      <w:pPr>
        <w:numPr>
          <w:ilvl w:val="0"/>
          <w:numId w:val="2"/>
        </w:numPr>
        <w:spacing w:after="0" w:line="360" w:lineRule="auto"/>
        <w:ind w:left="426" w:hanging="426"/>
        <w:contextualSpacing/>
        <w:jc w:val="both"/>
        <w:rPr>
          <w:rFonts w:ascii="Palatino Linotype" w:eastAsia="Calibri" w:hAnsi="Palatino Linotype" w:cs="Arial"/>
          <w:sz w:val="24"/>
          <w:szCs w:val="24"/>
          <w:lang w:val="es-ES"/>
        </w:rPr>
      </w:pPr>
      <w:r w:rsidRPr="00877AE6">
        <w:rPr>
          <w:rFonts w:ascii="Palatino Linotype" w:eastAsia="Calibri" w:hAnsi="Palatino Linotype" w:cs="Arial"/>
          <w:sz w:val="24"/>
          <w:szCs w:val="24"/>
          <w:lang w:val="es-ES"/>
        </w:rPr>
        <w:t xml:space="preserve">En </w:t>
      </w:r>
      <w:r w:rsidRPr="00877AE6">
        <w:rPr>
          <w:rFonts w:ascii="Palatino Linotype" w:eastAsia="Calibri" w:hAnsi="Palatino Linotype" w:cs="Times New Roman"/>
          <w:sz w:val="24"/>
          <w:szCs w:val="24"/>
        </w:rPr>
        <w:t>ejercicio del derecho constitucional que le asiste al particular</w:t>
      </w:r>
      <w:r w:rsidR="00032D26" w:rsidRPr="00877AE6">
        <w:rPr>
          <w:rFonts w:ascii="Palatino Linotype" w:eastAsia="Calibri" w:hAnsi="Palatino Linotype" w:cs="Times New Roman"/>
          <w:sz w:val="24"/>
          <w:szCs w:val="24"/>
        </w:rPr>
        <w:t>,</w:t>
      </w:r>
      <w:r w:rsidRPr="00877AE6">
        <w:rPr>
          <w:rFonts w:ascii="Palatino Linotype" w:eastAsia="Calibri" w:hAnsi="Palatino Linotype" w:cs="Times New Roman"/>
          <w:sz w:val="24"/>
          <w:szCs w:val="24"/>
        </w:rPr>
        <w:t xml:space="preserve"> formuló solicitud de información dirigida hacia el </w:t>
      </w:r>
      <w:r w:rsidR="003D1DF8">
        <w:rPr>
          <w:rFonts w:ascii="Palatino Linotype" w:hAnsi="Palatino Linotype" w:cs="Arial"/>
          <w:szCs w:val="20"/>
        </w:rPr>
        <w:t>Ayuntamiento de Naucalpan de Juárez</w:t>
      </w:r>
      <w:r w:rsidRPr="00877AE6">
        <w:rPr>
          <w:rFonts w:ascii="Palatino Linotype" w:eastAsia="Calibri" w:hAnsi="Palatino Linotype" w:cs="Times New Roman"/>
          <w:sz w:val="24"/>
          <w:szCs w:val="24"/>
        </w:rPr>
        <w:t>, en dicha</w:t>
      </w:r>
      <w:r w:rsidR="00902FFF" w:rsidRPr="00877AE6">
        <w:rPr>
          <w:rFonts w:ascii="Palatino Linotype" w:eastAsia="Calibri" w:hAnsi="Palatino Linotype" w:cs="Times New Roman"/>
          <w:sz w:val="24"/>
          <w:szCs w:val="24"/>
        </w:rPr>
        <w:t xml:space="preserve"> solicitud planteó lo siguiente:</w:t>
      </w:r>
    </w:p>
    <w:p w:rsidR="00630750" w:rsidRPr="00877AE6" w:rsidRDefault="00630750" w:rsidP="00630750">
      <w:pPr>
        <w:spacing w:after="0" w:line="360" w:lineRule="auto"/>
        <w:ind w:left="426"/>
        <w:contextualSpacing/>
        <w:jc w:val="both"/>
        <w:rPr>
          <w:rFonts w:ascii="Palatino Linotype" w:eastAsia="Calibri" w:hAnsi="Palatino Linotype" w:cs="Arial"/>
          <w:sz w:val="24"/>
          <w:szCs w:val="24"/>
          <w:lang w:val="es-ES"/>
        </w:rPr>
      </w:pPr>
    </w:p>
    <w:p w:rsidR="00187610" w:rsidRPr="00877AE6" w:rsidRDefault="00187610" w:rsidP="00A766F3">
      <w:pPr>
        <w:spacing w:before="240" w:line="360" w:lineRule="auto"/>
        <w:ind w:left="348"/>
        <w:jc w:val="both"/>
        <w:rPr>
          <w:rFonts w:ascii="Palatino Linotype" w:hAnsi="Palatino Linotype" w:cs="Arial"/>
          <w:b/>
          <w:sz w:val="24"/>
          <w:szCs w:val="24"/>
        </w:rPr>
      </w:pPr>
      <w:r w:rsidRPr="00877AE6">
        <w:rPr>
          <w:rFonts w:ascii="Palatino Linotype" w:hAnsi="Palatino Linotype" w:cs="Arial"/>
          <w:b/>
          <w:sz w:val="24"/>
          <w:szCs w:val="24"/>
        </w:rPr>
        <w:t xml:space="preserve">Solicitud </w:t>
      </w:r>
      <w:r w:rsidR="003D1DF8" w:rsidRPr="003D1DF8">
        <w:rPr>
          <w:rFonts w:ascii="Palatino Linotype" w:hAnsi="Palatino Linotype"/>
          <w:b/>
          <w:bCs/>
          <w:sz w:val="24"/>
          <w:szCs w:val="24"/>
        </w:rPr>
        <w:t>00498/NAUCALPA/IP/2018</w:t>
      </w:r>
      <w:r w:rsidRPr="00877AE6">
        <w:rPr>
          <w:rFonts w:ascii="Palatino Linotype" w:hAnsi="Palatino Linotype" w:cs="Arial"/>
          <w:b/>
          <w:sz w:val="24"/>
          <w:szCs w:val="24"/>
        </w:rPr>
        <w:t>:</w:t>
      </w:r>
    </w:p>
    <w:p w:rsidR="00362134" w:rsidRPr="00877AE6" w:rsidRDefault="00362134" w:rsidP="00362134">
      <w:pPr>
        <w:spacing w:before="80" w:after="120"/>
        <w:ind w:left="709" w:right="709"/>
        <w:jc w:val="both"/>
        <w:rPr>
          <w:rFonts w:ascii="Palatino Linotype" w:hAnsi="Palatino Linotype"/>
          <w:sz w:val="24"/>
          <w:szCs w:val="24"/>
        </w:rPr>
      </w:pPr>
      <w:r w:rsidRPr="00877AE6">
        <w:rPr>
          <w:rFonts w:ascii="Palatino Linotype" w:hAnsi="Palatino Linotype" w:cs="Arial"/>
          <w:i/>
          <w:sz w:val="24"/>
          <w:szCs w:val="24"/>
        </w:rPr>
        <w:t>“</w:t>
      </w:r>
      <w:r w:rsidR="003D1DF8" w:rsidRPr="003D1DF8">
        <w:rPr>
          <w:rFonts w:ascii="Palatino Linotype" w:hAnsi="Palatino Linotype" w:cs="Arial"/>
          <w:i/>
          <w:sz w:val="24"/>
          <w:szCs w:val="24"/>
        </w:rPr>
        <w:t>Contratos de comodato para la entrega de un predio a las organizaciones vecinales , ubicado en la esquina de acueducto Cocoyoc y Avenida Circunvalación poniente del fraccionamiento Vista del Valle en Naucalpan de Juárez. Contratos de Comodato a partir de el año 1976.</w:t>
      </w:r>
      <w:r w:rsidRPr="00877AE6">
        <w:rPr>
          <w:rFonts w:ascii="Palatino Linotype" w:hAnsi="Palatino Linotype" w:cs="Arial"/>
          <w:i/>
          <w:sz w:val="24"/>
          <w:szCs w:val="24"/>
        </w:rPr>
        <w:t xml:space="preserve">” </w:t>
      </w:r>
      <w:r w:rsidRPr="00877AE6">
        <w:rPr>
          <w:rFonts w:ascii="Palatino Linotype" w:hAnsi="Palatino Linotype"/>
          <w:sz w:val="24"/>
          <w:szCs w:val="24"/>
        </w:rPr>
        <w:t>(Sic).</w:t>
      </w:r>
    </w:p>
    <w:p w:rsidR="00187610" w:rsidRPr="00877AE6" w:rsidRDefault="00187610" w:rsidP="00A766F3">
      <w:pPr>
        <w:ind w:left="1199" w:right="900"/>
        <w:jc w:val="both"/>
        <w:rPr>
          <w:rFonts w:ascii="Palatino Linotype" w:hAnsi="Palatino Linotype"/>
          <w:i/>
          <w:color w:val="000000"/>
          <w:sz w:val="24"/>
          <w:szCs w:val="24"/>
        </w:rPr>
      </w:pPr>
    </w:p>
    <w:p w:rsidR="00A766F3" w:rsidRPr="00877AE6" w:rsidRDefault="00A766F3" w:rsidP="00A766F3">
      <w:pPr>
        <w:numPr>
          <w:ilvl w:val="0"/>
          <w:numId w:val="2"/>
        </w:numPr>
        <w:spacing w:after="0" w:line="360" w:lineRule="auto"/>
        <w:ind w:left="426" w:hanging="426"/>
        <w:contextualSpacing/>
        <w:jc w:val="both"/>
        <w:rPr>
          <w:rFonts w:ascii="Palatino Linotype" w:hAnsi="Palatino Linotype" w:cs="Arial"/>
          <w:sz w:val="24"/>
          <w:szCs w:val="24"/>
        </w:rPr>
      </w:pPr>
      <w:r w:rsidRPr="00877AE6">
        <w:rPr>
          <w:rFonts w:ascii="Palatino Linotype" w:eastAsia="Calibri" w:hAnsi="Palatino Linotype" w:cs="Arial"/>
          <w:sz w:val="24"/>
          <w:szCs w:val="24"/>
          <w:lang w:val="es-ES"/>
        </w:rPr>
        <w:t>Inconforme</w:t>
      </w:r>
      <w:r w:rsidRPr="00877AE6">
        <w:rPr>
          <w:rFonts w:ascii="Palatino Linotype" w:hAnsi="Palatino Linotype" w:cs="Arial"/>
          <w:sz w:val="24"/>
          <w:szCs w:val="24"/>
        </w:rPr>
        <w:t xml:space="preserve"> el solicitante con la respuesta por </w:t>
      </w:r>
      <w:r w:rsidR="00362134" w:rsidRPr="00877AE6">
        <w:rPr>
          <w:rFonts w:ascii="Palatino Linotype" w:hAnsi="Palatino Linotype" w:cs="Arial"/>
          <w:sz w:val="24"/>
          <w:szCs w:val="24"/>
        </w:rPr>
        <w:t>parte d</w:t>
      </w:r>
      <w:r w:rsidRPr="00877AE6">
        <w:rPr>
          <w:rFonts w:ascii="Palatino Linotype" w:hAnsi="Palatino Linotype" w:cs="Arial"/>
          <w:sz w:val="24"/>
          <w:szCs w:val="24"/>
        </w:rPr>
        <w:t xml:space="preserve">el </w:t>
      </w:r>
      <w:r w:rsidRPr="004E1262">
        <w:rPr>
          <w:rFonts w:ascii="Palatino Linotype" w:hAnsi="Palatino Linotype" w:cs="Arial"/>
          <w:sz w:val="24"/>
          <w:szCs w:val="24"/>
        </w:rPr>
        <w:t>Sujeto Obligado</w:t>
      </w:r>
      <w:r w:rsidR="00362134" w:rsidRPr="004E1262">
        <w:rPr>
          <w:rFonts w:ascii="Palatino Linotype" w:hAnsi="Palatino Linotype" w:cs="Arial"/>
          <w:sz w:val="24"/>
          <w:szCs w:val="24"/>
        </w:rPr>
        <w:t>,</w:t>
      </w:r>
      <w:r w:rsidRPr="00877AE6">
        <w:rPr>
          <w:rFonts w:ascii="Palatino Linotype" w:hAnsi="Palatino Linotype" w:cs="Arial"/>
          <w:sz w:val="24"/>
          <w:szCs w:val="24"/>
        </w:rPr>
        <w:t xml:space="preserve"> interpuso </w:t>
      </w:r>
      <w:r w:rsidR="00362134" w:rsidRPr="00877AE6">
        <w:rPr>
          <w:rFonts w:ascii="Palatino Linotype" w:hAnsi="Palatino Linotype" w:cs="Arial"/>
          <w:sz w:val="24"/>
          <w:szCs w:val="24"/>
        </w:rPr>
        <w:t xml:space="preserve">el </w:t>
      </w:r>
      <w:r w:rsidRPr="00877AE6">
        <w:rPr>
          <w:rFonts w:ascii="Palatino Linotype" w:hAnsi="Palatino Linotype" w:cs="Arial"/>
          <w:sz w:val="24"/>
          <w:szCs w:val="24"/>
        </w:rPr>
        <w:t xml:space="preserve">recursos de revisión </w:t>
      </w:r>
      <w:r w:rsidR="00362134" w:rsidRPr="00877AE6">
        <w:rPr>
          <w:rFonts w:ascii="Palatino Linotype" w:hAnsi="Palatino Linotype" w:cs="Arial"/>
          <w:sz w:val="24"/>
          <w:szCs w:val="24"/>
        </w:rPr>
        <w:t xml:space="preserve">respectivo a través del SAIMEX en fecha </w:t>
      </w:r>
      <w:r w:rsidR="004E1262">
        <w:rPr>
          <w:rFonts w:ascii="Palatino Linotype" w:hAnsi="Palatino Linotype" w:cs="Arial"/>
          <w:sz w:val="24"/>
          <w:szCs w:val="24"/>
        </w:rPr>
        <w:t xml:space="preserve">veintitrés </w:t>
      </w:r>
      <w:r w:rsidR="00362134" w:rsidRPr="00877AE6">
        <w:rPr>
          <w:rFonts w:ascii="Palatino Linotype" w:hAnsi="Palatino Linotype" w:cs="Arial"/>
          <w:sz w:val="24"/>
          <w:szCs w:val="24"/>
        </w:rPr>
        <w:t>(</w:t>
      </w:r>
      <w:r w:rsidR="004E1262">
        <w:rPr>
          <w:rFonts w:ascii="Palatino Linotype" w:hAnsi="Palatino Linotype" w:cs="Arial"/>
          <w:sz w:val="24"/>
          <w:szCs w:val="24"/>
        </w:rPr>
        <w:t>23</w:t>
      </w:r>
      <w:r w:rsidR="00362134" w:rsidRPr="00877AE6">
        <w:rPr>
          <w:rFonts w:ascii="Palatino Linotype" w:hAnsi="Palatino Linotype" w:cs="Arial"/>
          <w:sz w:val="24"/>
          <w:szCs w:val="24"/>
        </w:rPr>
        <w:t>)</w:t>
      </w:r>
      <w:r w:rsidRPr="00877AE6">
        <w:rPr>
          <w:rFonts w:ascii="Palatino Linotype" w:hAnsi="Palatino Linotype" w:cs="Arial"/>
          <w:sz w:val="24"/>
          <w:szCs w:val="24"/>
        </w:rPr>
        <w:t xml:space="preserve"> de </w:t>
      </w:r>
      <w:r w:rsidR="004E1262">
        <w:rPr>
          <w:rFonts w:ascii="Palatino Linotype" w:hAnsi="Palatino Linotype" w:cs="Arial"/>
          <w:sz w:val="24"/>
          <w:szCs w:val="24"/>
        </w:rPr>
        <w:t>octu</w:t>
      </w:r>
      <w:r w:rsidR="004505EE" w:rsidRPr="00877AE6">
        <w:rPr>
          <w:rFonts w:ascii="Palatino Linotype" w:hAnsi="Palatino Linotype" w:cs="Arial"/>
          <w:sz w:val="24"/>
          <w:szCs w:val="24"/>
        </w:rPr>
        <w:t>bre</w:t>
      </w:r>
      <w:r w:rsidRPr="00877AE6">
        <w:rPr>
          <w:rFonts w:ascii="Palatino Linotype" w:hAnsi="Palatino Linotype" w:cs="Arial"/>
          <w:sz w:val="24"/>
          <w:szCs w:val="24"/>
        </w:rPr>
        <w:t xml:space="preserve"> de d</w:t>
      </w:r>
      <w:r w:rsidR="00362134" w:rsidRPr="00877AE6">
        <w:rPr>
          <w:rFonts w:ascii="Palatino Linotype" w:hAnsi="Palatino Linotype" w:cs="Arial"/>
          <w:sz w:val="24"/>
          <w:szCs w:val="24"/>
        </w:rPr>
        <w:t>os mil dieciocho, a través del</w:t>
      </w:r>
      <w:r w:rsidRPr="00877AE6">
        <w:rPr>
          <w:rFonts w:ascii="Palatino Linotype" w:hAnsi="Palatino Linotype" w:cs="Arial"/>
          <w:sz w:val="24"/>
          <w:szCs w:val="24"/>
        </w:rPr>
        <w:t xml:space="preserve"> cual expresó lo siguiente:</w:t>
      </w:r>
    </w:p>
    <w:p w:rsidR="00362134" w:rsidRDefault="00362134" w:rsidP="00A766F3">
      <w:pPr>
        <w:spacing w:line="360" w:lineRule="auto"/>
        <w:ind w:left="426"/>
        <w:rPr>
          <w:rFonts w:ascii="Palatino Linotype" w:hAnsi="Palatino Linotype" w:cs="Arial"/>
          <w:b/>
          <w:sz w:val="24"/>
          <w:szCs w:val="24"/>
        </w:rPr>
      </w:pPr>
    </w:p>
    <w:p w:rsidR="004E1262" w:rsidRPr="00877AE6" w:rsidRDefault="004E1262" w:rsidP="00A766F3">
      <w:pPr>
        <w:spacing w:line="360" w:lineRule="auto"/>
        <w:ind w:left="426"/>
        <w:rPr>
          <w:rFonts w:ascii="Palatino Linotype" w:hAnsi="Palatino Linotype" w:cs="Arial"/>
          <w:b/>
          <w:sz w:val="24"/>
          <w:szCs w:val="24"/>
        </w:rPr>
      </w:pPr>
    </w:p>
    <w:p w:rsidR="00A766F3" w:rsidRPr="00877AE6" w:rsidRDefault="00A766F3" w:rsidP="00A13BDF">
      <w:pPr>
        <w:spacing w:line="360" w:lineRule="auto"/>
        <w:ind w:left="709"/>
        <w:rPr>
          <w:rFonts w:ascii="Palatino Linotype" w:hAnsi="Palatino Linotype" w:cs="Arial"/>
          <w:b/>
          <w:sz w:val="24"/>
          <w:szCs w:val="24"/>
        </w:rPr>
      </w:pPr>
      <w:r w:rsidRPr="00877AE6">
        <w:rPr>
          <w:rFonts w:ascii="Palatino Linotype" w:hAnsi="Palatino Linotype" w:cs="Arial"/>
          <w:b/>
          <w:sz w:val="24"/>
          <w:szCs w:val="24"/>
        </w:rPr>
        <w:t>a) Acto impugnado.</w:t>
      </w:r>
    </w:p>
    <w:p w:rsidR="00362134" w:rsidRPr="00877AE6" w:rsidRDefault="00A766F3" w:rsidP="00A13BDF">
      <w:pPr>
        <w:spacing w:before="200" w:after="200"/>
        <w:ind w:left="709" w:right="709"/>
        <w:jc w:val="both"/>
        <w:rPr>
          <w:rFonts w:ascii="Palatino Linotype" w:hAnsi="Palatino Linotype" w:cs="Arial"/>
          <w:sz w:val="24"/>
          <w:szCs w:val="24"/>
          <w:lang w:eastAsia="es-MX"/>
        </w:rPr>
      </w:pPr>
      <w:r w:rsidRPr="00877AE6">
        <w:rPr>
          <w:rFonts w:ascii="Palatino Linotype" w:hAnsi="Palatino Linotype"/>
          <w:i/>
          <w:color w:val="000000"/>
          <w:sz w:val="24"/>
          <w:szCs w:val="24"/>
        </w:rPr>
        <w:t>“</w:t>
      </w:r>
      <w:r w:rsidR="004E1262" w:rsidRPr="004E1262">
        <w:rPr>
          <w:rFonts w:ascii="Palatino Linotype" w:hAnsi="Palatino Linotype" w:cs="Arial"/>
          <w:i/>
          <w:sz w:val="24"/>
          <w:szCs w:val="24"/>
          <w:lang w:eastAsia="es-MX"/>
        </w:rPr>
        <w:t>Contratos de comodato para la entrega de un predio a las organizaciones vecinales , ubicado en la esquina de acueducto Cocoyoc y Avenida Circunvalación poniente del fraccionamiento Vista del Valle en Naucalpan de Juárez. Contratos de Comodato a partir de el año 1976. MODALIDAD DE ENTREGA</w:t>
      </w:r>
      <w:r w:rsidR="00362134" w:rsidRPr="00877AE6">
        <w:rPr>
          <w:rFonts w:ascii="Palatino Linotype" w:hAnsi="Palatino Linotype" w:cs="Arial"/>
          <w:i/>
          <w:sz w:val="24"/>
          <w:szCs w:val="24"/>
          <w:lang w:eastAsia="es-MX"/>
        </w:rPr>
        <w:t xml:space="preserve">” </w:t>
      </w:r>
      <w:r w:rsidR="00362134" w:rsidRPr="00877AE6">
        <w:rPr>
          <w:rFonts w:ascii="Palatino Linotype" w:hAnsi="Palatino Linotype" w:cs="Arial"/>
          <w:sz w:val="24"/>
          <w:szCs w:val="24"/>
          <w:lang w:eastAsia="es-MX"/>
        </w:rPr>
        <w:t>(Sic)</w:t>
      </w:r>
    </w:p>
    <w:p w:rsidR="00362134" w:rsidRPr="00877AE6" w:rsidRDefault="00362134" w:rsidP="00A13BDF">
      <w:pPr>
        <w:spacing w:line="360" w:lineRule="auto"/>
        <w:ind w:left="709"/>
        <w:jc w:val="both"/>
        <w:rPr>
          <w:rFonts w:ascii="Palatino Linotype" w:hAnsi="Palatino Linotype" w:cs="Arial"/>
          <w:b/>
          <w:sz w:val="24"/>
          <w:szCs w:val="24"/>
        </w:rPr>
      </w:pPr>
    </w:p>
    <w:p w:rsidR="00A766F3" w:rsidRPr="00877AE6" w:rsidRDefault="00A766F3" w:rsidP="00A13BDF">
      <w:pPr>
        <w:spacing w:line="360" w:lineRule="auto"/>
        <w:ind w:left="709"/>
        <w:jc w:val="both"/>
        <w:rPr>
          <w:rFonts w:ascii="Palatino Linotype" w:hAnsi="Palatino Linotype" w:cs="Arial"/>
          <w:b/>
          <w:sz w:val="24"/>
          <w:szCs w:val="24"/>
        </w:rPr>
      </w:pPr>
      <w:r w:rsidRPr="00877AE6">
        <w:rPr>
          <w:rFonts w:ascii="Palatino Linotype" w:hAnsi="Palatino Linotype" w:cs="Arial"/>
          <w:b/>
          <w:sz w:val="24"/>
          <w:szCs w:val="24"/>
        </w:rPr>
        <w:t>b) Motivos de inconformidad.</w:t>
      </w:r>
    </w:p>
    <w:p w:rsidR="00362134" w:rsidRPr="00877AE6" w:rsidRDefault="00362134" w:rsidP="00A13BDF">
      <w:pPr>
        <w:spacing w:before="200" w:after="200"/>
        <w:ind w:left="709" w:right="709"/>
        <w:jc w:val="both"/>
        <w:rPr>
          <w:rFonts w:ascii="Palatino Linotype" w:hAnsi="Palatino Linotype" w:cs="Arial"/>
          <w:spacing w:val="-6"/>
          <w:sz w:val="24"/>
          <w:szCs w:val="24"/>
          <w:lang w:eastAsia="es-MX"/>
        </w:rPr>
      </w:pPr>
      <w:r w:rsidRPr="00877AE6">
        <w:rPr>
          <w:rFonts w:ascii="Palatino Linotype" w:hAnsi="Palatino Linotype" w:cs="Arial"/>
          <w:i/>
          <w:spacing w:val="-6"/>
          <w:sz w:val="24"/>
          <w:szCs w:val="24"/>
          <w:lang w:eastAsia="es-MX"/>
        </w:rPr>
        <w:t>“</w:t>
      </w:r>
      <w:r w:rsidR="004E1262" w:rsidRPr="004E1262">
        <w:rPr>
          <w:rFonts w:ascii="Palatino Linotype" w:hAnsi="Palatino Linotype" w:cs="Arial"/>
          <w:i/>
          <w:sz w:val="24"/>
          <w:szCs w:val="24"/>
          <w:lang w:eastAsia="es-MX"/>
        </w:rPr>
        <w:t>LA SOLICITUD DE LA PETICION SE INGRSO EL 30/08/2018, SE SOLICITO UNA PRORRAGA, MISMA QUE VENCIÓ Y AUN NO SE OBTIENE RESPUESTA</w:t>
      </w:r>
      <w:r w:rsidRPr="00877AE6">
        <w:rPr>
          <w:rFonts w:ascii="Palatino Linotype" w:hAnsi="Palatino Linotype" w:cs="Arial"/>
          <w:i/>
          <w:sz w:val="24"/>
          <w:szCs w:val="24"/>
          <w:lang w:eastAsia="es-MX"/>
        </w:rPr>
        <w:t>”</w:t>
      </w:r>
      <w:r w:rsidRPr="00877AE6">
        <w:rPr>
          <w:rFonts w:ascii="Palatino Linotype" w:hAnsi="Palatino Linotype" w:cs="Arial"/>
          <w:i/>
          <w:spacing w:val="-6"/>
          <w:sz w:val="24"/>
          <w:szCs w:val="24"/>
          <w:lang w:eastAsia="es-MX"/>
        </w:rPr>
        <w:t xml:space="preserve"> </w:t>
      </w:r>
      <w:r w:rsidRPr="00877AE6">
        <w:rPr>
          <w:rFonts w:ascii="Palatino Linotype" w:hAnsi="Palatino Linotype" w:cs="Arial"/>
          <w:spacing w:val="-6"/>
          <w:sz w:val="24"/>
          <w:szCs w:val="24"/>
          <w:lang w:eastAsia="es-MX"/>
        </w:rPr>
        <w:t>(Sic)</w:t>
      </w:r>
    </w:p>
    <w:p w:rsidR="004E1262" w:rsidRPr="004E1262" w:rsidRDefault="004E1262" w:rsidP="004E1262">
      <w:pPr>
        <w:pStyle w:val="Prrafodelista"/>
        <w:spacing w:after="0" w:line="360" w:lineRule="auto"/>
        <w:ind w:left="360"/>
        <w:jc w:val="both"/>
        <w:rPr>
          <w:rFonts w:ascii="Palatino Linotype" w:eastAsia="Calibri" w:hAnsi="Palatino Linotype" w:cs="Arial"/>
          <w:sz w:val="24"/>
          <w:szCs w:val="24"/>
        </w:rPr>
      </w:pPr>
    </w:p>
    <w:p w:rsidR="000F1AD8" w:rsidRPr="00877AE6" w:rsidRDefault="00A7073D" w:rsidP="000F1AD8">
      <w:pPr>
        <w:pStyle w:val="Prrafodelista"/>
        <w:numPr>
          <w:ilvl w:val="0"/>
          <w:numId w:val="2"/>
        </w:numPr>
        <w:spacing w:after="0" w:line="360" w:lineRule="auto"/>
        <w:jc w:val="both"/>
        <w:rPr>
          <w:rFonts w:ascii="Palatino Linotype" w:eastAsia="Calibri" w:hAnsi="Palatino Linotype" w:cs="Arial"/>
          <w:sz w:val="24"/>
          <w:szCs w:val="24"/>
        </w:rPr>
      </w:pPr>
      <w:r w:rsidRPr="00877AE6">
        <w:rPr>
          <w:rFonts w:ascii="Palatino Linotype" w:hAnsi="Palatino Linotype" w:cs="Arial"/>
          <w:sz w:val="24"/>
          <w:szCs w:val="24"/>
        </w:rPr>
        <w:t>Bajo esas consideraciones, se advirtió que los motivos aduc</w:t>
      </w:r>
      <w:r w:rsidR="00630750" w:rsidRPr="00877AE6">
        <w:rPr>
          <w:rFonts w:ascii="Palatino Linotype" w:hAnsi="Palatino Linotype" w:cs="Arial"/>
          <w:sz w:val="24"/>
          <w:szCs w:val="24"/>
        </w:rPr>
        <w:t>idos por el recurrente, resultaban</w:t>
      </w:r>
      <w:r w:rsidRPr="00877AE6">
        <w:rPr>
          <w:rFonts w:ascii="Palatino Linotype" w:hAnsi="Palatino Linotype" w:cs="Arial"/>
          <w:sz w:val="24"/>
          <w:szCs w:val="24"/>
        </w:rPr>
        <w:t xml:space="preserve"> fundados pues efectivamente transcurrió el plazo para dar respuesta determinado por la Ley de la Materia, por lo que </w:t>
      </w:r>
      <w:r w:rsidR="00362134" w:rsidRPr="00877AE6">
        <w:rPr>
          <w:rFonts w:ascii="Palatino Linotype" w:hAnsi="Palatino Linotype" w:cs="Arial"/>
          <w:sz w:val="24"/>
          <w:szCs w:val="24"/>
        </w:rPr>
        <w:t>la Ponencia R</w:t>
      </w:r>
      <w:r w:rsidR="008C2121" w:rsidRPr="00877AE6">
        <w:rPr>
          <w:rFonts w:ascii="Palatino Linotype" w:hAnsi="Palatino Linotype" w:cs="Arial"/>
          <w:sz w:val="24"/>
          <w:szCs w:val="24"/>
        </w:rPr>
        <w:t xml:space="preserve">esolutora </w:t>
      </w:r>
      <w:r w:rsidR="000F1AD8" w:rsidRPr="00877AE6">
        <w:rPr>
          <w:rFonts w:ascii="Palatino Linotype" w:hAnsi="Palatino Linotype" w:cs="Arial"/>
          <w:sz w:val="24"/>
          <w:szCs w:val="24"/>
        </w:rPr>
        <w:t>procedió al análisis del recurso</w:t>
      </w:r>
      <w:r w:rsidRPr="00877AE6">
        <w:rPr>
          <w:rFonts w:ascii="Palatino Linotype" w:hAnsi="Palatino Linotype" w:cs="Arial"/>
          <w:sz w:val="24"/>
          <w:szCs w:val="24"/>
        </w:rPr>
        <w:t xml:space="preserve"> de revisión</w:t>
      </w:r>
      <w:r w:rsidR="000F1AD8" w:rsidRPr="00877AE6">
        <w:rPr>
          <w:rFonts w:ascii="Palatino Linotype" w:hAnsi="Palatino Linotype" w:cs="Arial"/>
          <w:sz w:val="24"/>
          <w:szCs w:val="24"/>
        </w:rPr>
        <w:t>.</w:t>
      </w:r>
    </w:p>
    <w:p w:rsidR="00877AE6" w:rsidRPr="00877AE6" w:rsidRDefault="00877AE6" w:rsidP="00877AE6">
      <w:pPr>
        <w:pStyle w:val="Prrafodelista"/>
        <w:spacing w:after="0" w:line="360" w:lineRule="auto"/>
        <w:ind w:left="360"/>
        <w:jc w:val="both"/>
        <w:rPr>
          <w:rFonts w:ascii="Palatino Linotype" w:eastAsia="Calibri" w:hAnsi="Palatino Linotype" w:cs="Arial"/>
          <w:sz w:val="24"/>
          <w:szCs w:val="24"/>
        </w:rPr>
      </w:pPr>
    </w:p>
    <w:p w:rsidR="00877AE6" w:rsidRPr="00877AE6" w:rsidRDefault="00877AE6" w:rsidP="00877AE6">
      <w:pPr>
        <w:pStyle w:val="Ttulo1"/>
        <w:rPr>
          <w:rFonts w:ascii="Palatino Linotype" w:hAnsi="Palatino Linotype"/>
          <w:b/>
          <w:color w:val="000000" w:themeColor="text1"/>
          <w:sz w:val="24"/>
          <w:szCs w:val="24"/>
        </w:rPr>
      </w:pPr>
      <w:bookmarkStart w:id="5" w:name="_Toc527994043"/>
      <w:r w:rsidRPr="00877AE6">
        <w:rPr>
          <w:rFonts w:ascii="Palatino Linotype" w:hAnsi="Palatino Linotype"/>
          <w:b/>
          <w:color w:val="000000" w:themeColor="text1"/>
          <w:sz w:val="24"/>
          <w:szCs w:val="24"/>
        </w:rPr>
        <w:t>De la respuesta del Sujeto Obligado.</w:t>
      </w:r>
      <w:bookmarkEnd w:id="5"/>
    </w:p>
    <w:p w:rsidR="00877AE6" w:rsidRPr="00877AE6" w:rsidRDefault="00877AE6" w:rsidP="00877AE6">
      <w:pPr>
        <w:spacing w:line="360" w:lineRule="auto"/>
        <w:rPr>
          <w:rFonts w:ascii="Palatino Linotype" w:hAnsi="Palatino Linotype"/>
          <w:color w:val="000000" w:themeColor="text1"/>
          <w:sz w:val="24"/>
          <w:szCs w:val="24"/>
        </w:rPr>
      </w:pPr>
    </w:p>
    <w:p w:rsidR="004E1262" w:rsidRPr="004E1262" w:rsidRDefault="00877AE6" w:rsidP="004E1262">
      <w:pPr>
        <w:pStyle w:val="Prrafodelista"/>
        <w:numPr>
          <w:ilvl w:val="0"/>
          <w:numId w:val="2"/>
        </w:numPr>
        <w:spacing w:after="0" w:line="360" w:lineRule="auto"/>
        <w:jc w:val="both"/>
        <w:rPr>
          <w:rFonts w:ascii="Palatino Linotype" w:hAnsi="Palatino Linotype" w:cs="Arial"/>
          <w:i/>
          <w:sz w:val="24"/>
          <w:szCs w:val="24"/>
        </w:rPr>
      </w:pPr>
      <w:r w:rsidRPr="004E1262">
        <w:rPr>
          <w:rFonts w:ascii="Palatino Linotype" w:hAnsi="Palatino Linotype" w:cs="Arial"/>
          <w:sz w:val="24"/>
          <w:szCs w:val="24"/>
        </w:rPr>
        <w:t>Como</w:t>
      </w:r>
      <w:r w:rsidRPr="004E1262">
        <w:rPr>
          <w:rFonts w:ascii="Palatino Linotype" w:hAnsi="Palatino Linotype" w:cs="Arial"/>
          <w:color w:val="000000"/>
          <w:sz w:val="24"/>
          <w:szCs w:val="24"/>
        </w:rPr>
        <w:t xml:space="preserve"> ya fue precisado,</w:t>
      </w:r>
      <w:r w:rsidRPr="004E1262">
        <w:rPr>
          <w:rFonts w:ascii="Palatino Linotype" w:hAnsi="Palatino Linotype" w:cs="Arial"/>
          <w:sz w:val="24"/>
          <w:szCs w:val="24"/>
        </w:rPr>
        <w:t xml:space="preserve"> el Sujeto Obligado </w:t>
      </w:r>
      <w:r w:rsidR="004E1262" w:rsidRPr="004E1262">
        <w:rPr>
          <w:rFonts w:ascii="Palatino Linotype" w:hAnsi="Palatino Linotype" w:cs="Arial"/>
          <w:sz w:val="24"/>
          <w:szCs w:val="24"/>
        </w:rPr>
        <w:t>fue omiso en emitir una respuesta, constituyéndose así, lo que en la doctrina se conoce como negativa ficta, figura jurídica cuya esencia consiste en atribuir un efecto negativo al silencio de la autoridad administrativa frente a las instancias y solicitudes que hagan los particulares.</w:t>
      </w:r>
    </w:p>
    <w:p w:rsidR="004E1262" w:rsidRPr="004E1262" w:rsidRDefault="004E1262" w:rsidP="004E1262">
      <w:pPr>
        <w:pStyle w:val="Prrafodelista"/>
        <w:spacing w:after="0" w:line="360" w:lineRule="auto"/>
        <w:ind w:left="360"/>
        <w:jc w:val="both"/>
        <w:rPr>
          <w:rFonts w:ascii="Palatino Linotype" w:hAnsi="Palatino Linotype" w:cs="Arial"/>
          <w:i/>
          <w:sz w:val="24"/>
          <w:szCs w:val="24"/>
        </w:rPr>
      </w:pPr>
    </w:p>
    <w:p w:rsidR="004E1262" w:rsidRPr="00630412" w:rsidRDefault="004E1262" w:rsidP="004E1262">
      <w:pPr>
        <w:pStyle w:val="Prrafodelista"/>
        <w:numPr>
          <w:ilvl w:val="0"/>
          <w:numId w:val="2"/>
        </w:numPr>
        <w:spacing w:after="0" w:line="360" w:lineRule="auto"/>
        <w:jc w:val="both"/>
        <w:rPr>
          <w:rFonts w:ascii="Palatino Linotype" w:hAnsi="Palatino Linotype" w:cs="Arial"/>
          <w:i/>
          <w:sz w:val="24"/>
          <w:szCs w:val="24"/>
        </w:rPr>
      </w:pPr>
      <w:r w:rsidRPr="004E1262">
        <w:rPr>
          <w:rFonts w:ascii="Palatino Linotype" w:hAnsi="Palatino Linotype" w:cs="Arial"/>
          <w:sz w:val="24"/>
          <w:szCs w:val="24"/>
        </w:rPr>
        <w:t>No obstante, en un hecho posterior como lo es el informe justificado, a través del cual proporciona el oficio número SHA/4321/2018 de fecha nueve de octubre de la anualidad en curso, a través del cual el</w:t>
      </w:r>
      <w:r w:rsidR="00630412">
        <w:rPr>
          <w:rFonts w:ascii="Palatino Linotype" w:hAnsi="Palatino Linotype" w:cs="Arial"/>
          <w:sz w:val="24"/>
          <w:szCs w:val="24"/>
        </w:rPr>
        <w:t xml:space="preserve"> Secretario del Ayuntamiento, informó</w:t>
      </w:r>
      <w:r w:rsidRPr="004E1262">
        <w:rPr>
          <w:rFonts w:ascii="Palatino Linotype" w:hAnsi="Palatino Linotype" w:cs="Arial"/>
          <w:sz w:val="24"/>
          <w:szCs w:val="24"/>
        </w:rPr>
        <w:t xml:space="preserve"> al Titular de la Unidad de Transparencia que la información se encuentra sub judice y en atención a la Ley de Transparencia y Acceso a la Información Pública del Estado de México y Municipios, así como los Lineamientos Generales en Materia de Clasificación y Desclasificación de Información, </w:t>
      </w:r>
      <w:r w:rsidR="00630412">
        <w:rPr>
          <w:rFonts w:ascii="Palatino Linotype" w:hAnsi="Palatino Linotype" w:cs="Arial"/>
          <w:sz w:val="24"/>
          <w:szCs w:val="24"/>
        </w:rPr>
        <w:t xml:space="preserve">y que </w:t>
      </w:r>
      <w:r w:rsidRPr="004E1262">
        <w:rPr>
          <w:rFonts w:ascii="Palatino Linotype" w:hAnsi="Palatino Linotype" w:cs="Arial"/>
          <w:sz w:val="24"/>
          <w:szCs w:val="24"/>
        </w:rPr>
        <w:t xml:space="preserve">se </w:t>
      </w:r>
      <w:r w:rsidR="00630412" w:rsidRPr="004E1262">
        <w:rPr>
          <w:rFonts w:ascii="Palatino Linotype" w:hAnsi="Palatino Linotype" w:cs="Arial"/>
          <w:sz w:val="24"/>
          <w:szCs w:val="24"/>
        </w:rPr>
        <w:t>esta</w:t>
      </w:r>
      <w:r w:rsidR="00630412">
        <w:rPr>
          <w:rFonts w:ascii="Palatino Linotype" w:hAnsi="Palatino Linotype" w:cs="Arial"/>
          <w:sz w:val="24"/>
          <w:szCs w:val="24"/>
        </w:rPr>
        <w:t>ba</w:t>
      </w:r>
      <w:r w:rsidRPr="004E1262">
        <w:rPr>
          <w:rFonts w:ascii="Palatino Linotype" w:hAnsi="Palatino Linotype" w:cs="Arial"/>
          <w:sz w:val="24"/>
          <w:szCs w:val="24"/>
        </w:rPr>
        <w:t xml:space="preserve"> realizando el proyecto de acuerdo de clasificación de información como reservada, sin que mencione los motivos, razones o circunstancias de hecho y derecho por virtud de las cuales la información en comento seria clasificada</w:t>
      </w:r>
      <w:r w:rsidR="00630412">
        <w:rPr>
          <w:rFonts w:ascii="Palatino Linotype" w:hAnsi="Palatino Linotype" w:cs="Arial"/>
          <w:sz w:val="24"/>
          <w:szCs w:val="24"/>
        </w:rPr>
        <w:t>.</w:t>
      </w:r>
    </w:p>
    <w:p w:rsidR="00630412" w:rsidRPr="00630412" w:rsidRDefault="00630412" w:rsidP="00630412">
      <w:pPr>
        <w:pStyle w:val="Prrafodelista"/>
        <w:rPr>
          <w:rFonts w:ascii="Palatino Linotype" w:hAnsi="Palatino Linotype" w:cs="Arial"/>
          <w:i/>
          <w:sz w:val="24"/>
          <w:szCs w:val="24"/>
        </w:rPr>
      </w:pPr>
    </w:p>
    <w:p w:rsidR="00630412" w:rsidRPr="004E1262" w:rsidRDefault="00630412" w:rsidP="004E1262">
      <w:pPr>
        <w:pStyle w:val="Prrafodelista"/>
        <w:numPr>
          <w:ilvl w:val="0"/>
          <w:numId w:val="2"/>
        </w:numPr>
        <w:spacing w:after="0" w:line="360" w:lineRule="auto"/>
        <w:jc w:val="both"/>
        <w:rPr>
          <w:rFonts w:ascii="Palatino Linotype" w:hAnsi="Palatino Linotype" w:cs="Arial"/>
          <w:i/>
          <w:sz w:val="24"/>
          <w:szCs w:val="24"/>
        </w:rPr>
      </w:pPr>
      <w:r>
        <w:rPr>
          <w:rFonts w:ascii="Palatino Linotype" w:hAnsi="Palatino Linotype" w:cs="Arial"/>
          <w:sz w:val="24"/>
          <w:szCs w:val="24"/>
        </w:rPr>
        <w:t>Contexto, con el cual asume que genera, posee y administra la información, motivo por el cual se omitió un análisis de la fuente obligacional del Sujeto Obligado al respecto, y se procediera a ordenar la entrega del soporte documental de referencia.</w:t>
      </w:r>
    </w:p>
    <w:p w:rsidR="00877AE6" w:rsidRPr="00877AE6" w:rsidRDefault="00877AE6" w:rsidP="004E1262">
      <w:pPr>
        <w:pStyle w:val="Prrafodelista"/>
        <w:spacing w:after="0" w:line="360" w:lineRule="auto"/>
        <w:ind w:left="426"/>
        <w:jc w:val="both"/>
        <w:rPr>
          <w:rFonts w:ascii="Palatino Linotype" w:hAnsi="Palatino Linotype" w:cs="Arial"/>
          <w:sz w:val="24"/>
          <w:szCs w:val="24"/>
        </w:rPr>
      </w:pPr>
      <w:r w:rsidRPr="00877AE6">
        <w:rPr>
          <w:rFonts w:ascii="Palatino Linotype" w:hAnsi="Palatino Linotype" w:cs="Arial"/>
          <w:sz w:val="24"/>
          <w:szCs w:val="24"/>
        </w:rPr>
        <w:t xml:space="preserve"> </w:t>
      </w:r>
    </w:p>
    <w:p w:rsidR="00877AE6" w:rsidRPr="00877AE6" w:rsidRDefault="00630412" w:rsidP="00630412">
      <w:pPr>
        <w:pStyle w:val="Prrafodelista"/>
        <w:numPr>
          <w:ilvl w:val="0"/>
          <w:numId w:val="2"/>
        </w:numPr>
        <w:spacing w:after="0" w:line="360" w:lineRule="auto"/>
        <w:ind w:left="426" w:right="49" w:hanging="426"/>
        <w:jc w:val="both"/>
        <w:rPr>
          <w:rFonts w:ascii="Palatino Linotype" w:hAnsi="Palatino Linotype" w:cs="Arial"/>
          <w:sz w:val="24"/>
          <w:szCs w:val="24"/>
        </w:rPr>
      </w:pPr>
      <w:r>
        <w:rPr>
          <w:rFonts w:ascii="Palatino Linotype" w:hAnsi="Palatino Linotype" w:cs="Arial"/>
          <w:sz w:val="24"/>
          <w:szCs w:val="24"/>
        </w:rPr>
        <w:t>En esa tesitura</w:t>
      </w:r>
      <w:r w:rsidR="00877AE6" w:rsidRPr="00877AE6">
        <w:rPr>
          <w:rFonts w:ascii="Palatino Linotype" w:hAnsi="Palatino Linotype" w:cs="Arial"/>
          <w:sz w:val="24"/>
          <w:szCs w:val="24"/>
        </w:rPr>
        <w:t>, es menester señalar que el Instituto Nacional de Transparencia y Acceso a la Información y Protección de Datos Personales, en el expediente RIA 82/18, establece que para acreditar la reserva de la información, es necesario actualizar cuatro requisitos, siendo estos los siguientes:</w:t>
      </w:r>
    </w:p>
    <w:p w:rsidR="00877AE6" w:rsidRPr="00877AE6" w:rsidRDefault="00877AE6" w:rsidP="00877AE6">
      <w:pPr>
        <w:pStyle w:val="Prrafodelista"/>
        <w:spacing w:line="360" w:lineRule="auto"/>
        <w:rPr>
          <w:rFonts w:ascii="Palatino Linotype" w:hAnsi="Palatino Linotype" w:cs="Arial"/>
          <w:sz w:val="24"/>
          <w:szCs w:val="24"/>
        </w:rPr>
      </w:pPr>
    </w:p>
    <w:p w:rsidR="00877AE6" w:rsidRPr="00877AE6" w:rsidRDefault="00877AE6" w:rsidP="00877AE6">
      <w:pPr>
        <w:pStyle w:val="Prrafodelista"/>
        <w:numPr>
          <w:ilvl w:val="0"/>
          <w:numId w:val="41"/>
        </w:numPr>
        <w:spacing w:after="0" w:line="360" w:lineRule="auto"/>
        <w:ind w:left="851" w:right="616" w:hanging="295"/>
        <w:jc w:val="both"/>
        <w:rPr>
          <w:rFonts w:ascii="Palatino Linotype" w:hAnsi="Palatino Linotype" w:cs="Arial"/>
          <w:b/>
          <w:sz w:val="24"/>
          <w:szCs w:val="24"/>
        </w:rPr>
      </w:pPr>
      <w:r w:rsidRPr="00877AE6">
        <w:rPr>
          <w:rFonts w:ascii="Palatino Linotype" w:hAnsi="Palatino Linotype" w:cs="Arial"/>
          <w:b/>
          <w:sz w:val="24"/>
          <w:szCs w:val="24"/>
        </w:rPr>
        <w:t xml:space="preserve">La existencia de un juicio o procedimiento administrativo materialmente jurisdiccional. </w:t>
      </w:r>
    </w:p>
    <w:p w:rsidR="00877AE6" w:rsidRPr="00877AE6" w:rsidRDefault="00877AE6" w:rsidP="00877AE6">
      <w:pPr>
        <w:pStyle w:val="Prrafodelista"/>
        <w:spacing w:line="360" w:lineRule="auto"/>
        <w:ind w:left="567" w:right="616" w:hanging="11"/>
        <w:jc w:val="both"/>
        <w:rPr>
          <w:rFonts w:ascii="Palatino Linotype" w:hAnsi="Palatino Linotype" w:cs="Arial"/>
          <w:b/>
          <w:sz w:val="24"/>
          <w:szCs w:val="24"/>
        </w:rPr>
      </w:pPr>
    </w:p>
    <w:p w:rsidR="00877AE6" w:rsidRPr="00877AE6" w:rsidRDefault="00877AE6" w:rsidP="00877AE6">
      <w:pPr>
        <w:pStyle w:val="Prrafodelista"/>
        <w:numPr>
          <w:ilvl w:val="0"/>
          <w:numId w:val="41"/>
        </w:numPr>
        <w:spacing w:after="0" w:line="360" w:lineRule="auto"/>
        <w:ind w:left="851" w:right="616" w:hanging="295"/>
        <w:jc w:val="both"/>
        <w:rPr>
          <w:rFonts w:ascii="Palatino Linotype" w:hAnsi="Palatino Linotype" w:cs="Arial"/>
          <w:b/>
          <w:sz w:val="24"/>
          <w:szCs w:val="24"/>
        </w:rPr>
      </w:pPr>
      <w:r w:rsidRPr="00877AE6">
        <w:rPr>
          <w:rFonts w:ascii="Palatino Linotype" w:hAnsi="Palatino Linotype" w:cs="Arial"/>
          <w:b/>
          <w:sz w:val="24"/>
          <w:szCs w:val="24"/>
        </w:rPr>
        <w:t>Que el juicio se encuentre en trámite, es decir, que no haya causado estad.</w:t>
      </w:r>
    </w:p>
    <w:p w:rsidR="00877AE6" w:rsidRPr="00877AE6" w:rsidRDefault="00877AE6" w:rsidP="00877AE6">
      <w:pPr>
        <w:spacing w:line="360" w:lineRule="auto"/>
        <w:ind w:left="567" w:right="616" w:hanging="11"/>
        <w:jc w:val="both"/>
        <w:rPr>
          <w:rFonts w:ascii="Palatino Linotype" w:hAnsi="Palatino Linotype" w:cs="Arial"/>
          <w:b/>
          <w:sz w:val="24"/>
          <w:szCs w:val="24"/>
        </w:rPr>
      </w:pPr>
      <w:r w:rsidRPr="00877AE6">
        <w:rPr>
          <w:rFonts w:ascii="Palatino Linotype" w:hAnsi="Palatino Linotype" w:cs="Arial"/>
          <w:b/>
          <w:sz w:val="24"/>
          <w:szCs w:val="24"/>
        </w:rPr>
        <w:t xml:space="preserve"> </w:t>
      </w:r>
    </w:p>
    <w:p w:rsidR="00877AE6" w:rsidRPr="00877AE6" w:rsidRDefault="00877AE6" w:rsidP="00877AE6">
      <w:pPr>
        <w:pStyle w:val="Prrafodelista"/>
        <w:numPr>
          <w:ilvl w:val="0"/>
          <w:numId w:val="41"/>
        </w:numPr>
        <w:spacing w:after="0" w:line="360" w:lineRule="auto"/>
        <w:ind w:left="851" w:right="616" w:hanging="295"/>
        <w:jc w:val="both"/>
        <w:rPr>
          <w:rFonts w:ascii="Palatino Linotype" w:hAnsi="Palatino Linotype" w:cs="Arial"/>
          <w:b/>
          <w:sz w:val="24"/>
          <w:szCs w:val="24"/>
        </w:rPr>
      </w:pPr>
      <w:r w:rsidRPr="00877AE6">
        <w:rPr>
          <w:rFonts w:ascii="Palatino Linotype" w:hAnsi="Palatino Linotype" w:cs="Arial"/>
          <w:b/>
          <w:sz w:val="24"/>
          <w:szCs w:val="24"/>
        </w:rPr>
        <w:t xml:space="preserve">El vínculo entre la información solicitada y el procedimiento judicial de que se trate. </w:t>
      </w:r>
    </w:p>
    <w:p w:rsidR="00877AE6" w:rsidRPr="00877AE6" w:rsidRDefault="00877AE6" w:rsidP="00877AE6">
      <w:pPr>
        <w:spacing w:line="360" w:lineRule="auto"/>
        <w:ind w:left="567" w:right="616" w:hanging="11"/>
        <w:jc w:val="both"/>
        <w:rPr>
          <w:rFonts w:ascii="Palatino Linotype" w:hAnsi="Palatino Linotype" w:cs="Arial"/>
          <w:b/>
          <w:sz w:val="24"/>
          <w:szCs w:val="24"/>
        </w:rPr>
      </w:pPr>
    </w:p>
    <w:p w:rsidR="00877AE6" w:rsidRPr="00877AE6" w:rsidRDefault="00877AE6" w:rsidP="00877AE6">
      <w:pPr>
        <w:pStyle w:val="Prrafodelista"/>
        <w:numPr>
          <w:ilvl w:val="0"/>
          <w:numId w:val="41"/>
        </w:numPr>
        <w:spacing w:after="0" w:line="360" w:lineRule="auto"/>
        <w:ind w:left="851" w:right="616" w:hanging="295"/>
        <w:jc w:val="both"/>
        <w:rPr>
          <w:rFonts w:ascii="Palatino Linotype" w:hAnsi="Palatino Linotype" w:cs="Arial"/>
          <w:b/>
          <w:sz w:val="24"/>
          <w:szCs w:val="24"/>
        </w:rPr>
      </w:pPr>
      <w:r w:rsidRPr="00877AE6">
        <w:rPr>
          <w:rFonts w:ascii="Palatino Linotype" w:hAnsi="Palatino Linotype" w:cs="Arial"/>
          <w:b/>
          <w:sz w:val="24"/>
          <w:szCs w:val="24"/>
        </w:rPr>
        <w:t xml:space="preserve">Que la difusión de la información pueda causar un daño y/o perjuicio a las atribuciones del Tribunal durante el juicio, es decir, que el contenido de la información vulnere, impida u obstruya los procedimientos que se ventilan. </w:t>
      </w:r>
    </w:p>
    <w:p w:rsidR="00877AE6" w:rsidRPr="00877AE6" w:rsidRDefault="00877AE6" w:rsidP="00877AE6">
      <w:pPr>
        <w:pStyle w:val="Prrafodelista"/>
        <w:spacing w:before="240" w:after="240" w:line="360" w:lineRule="auto"/>
        <w:ind w:left="0" w:right="49"/>
        <w:jc w:val="both"/>
        <w:rPr>
          <w:rFonts w:ascii="Palatino Linotype" w:hAnsi="Palatino Linotype" w:cs="Arial"/>
          <w:sz w:val="24"/>
          <w:szCs w:val="24"/>
        </w:rPr>
      </w:pPr>
    </w:p>
    <w:p w:rsidR="00877AE6" w:rsidRDefault="00877AE6" w:rsidP="00630412">
      <w:pPr>
        <w:pStyle w:val="Prrafodelista"/>
        <w:numPr>
          <w:ilvl w:val="0"/>
          <w:numId w:val="2"/>
        </w:numPr>
        <w:spacing w:before="240" w:after="240" w:line="360" w:lineRule="auto"/>
        <w:ind w:left="426" w:right="49" w:hanging="426"/>
        <w:jc w:val="both"/>
        <w:rPr>
          <w:rFonts w:ascii="Palatino Linotype" w:hAnsi="Palatino Linotype" w:cs="Arial"/>
          <w:sz w:val="24"/>
          <w:szCs w:val="24"/>
        </w:rPr>
      </w:pPr>
      <w:r w:rsidRPr="00877AE6">
        <w:rPr>
          <w:rFonts w:ascii="Palatino Linotype" w:hAnsi="Palatino Linotype" w:cs="Arial"/>
          <w:sz w:val="24"/>
          <w:szCs w:val="24"/>
        </w:rPr>
        <w:t xml:space="preserve">Por lo que, únicamente al configurarse los mismos, es procedente la reserva de la información, si uno de los requisitos faltase, no será en ningún momento posible su reserva. </w:t>
      </w:r>
    </w:p>
    <w:p w:rsidR="00630412" w:rsidRPr="00877AE6" w:rsidRDefault="00630412" w:rsidP="00630412">
      <w:pPr>
        <w:pStyle w:val="Prrafodelista"/>
        <w:spacing w:before="240" w:after="240" w:line="360" w:lineRule="auto"/>
        <w:ind w:left="426" w:right="49"/>
        <w:jc w:val="both"/>
        <w:rPr>
          <w:rFonts w:ascii="Palatino Linotype" w:hAnsi="Palatino Linotype" w:cs="Arial"/>
          <w:sz w:val="24"/>
          <w:szCs w:val="24"/>
        </w:rPr>
      </w:pPr>
    </w:p>
    <w:p w:rsidR="00877AE6" w:rsidRPr="00877AE6" w:rsidRDefault="00877AE6" w:rsidP="00877AE6">
      <w:pPr>
        <w:pStyle w:val="Prrafodelista"/>
        <w:numPr>
          <w:ilvl w:val="0"/>
          <w:numId w:val="2"/>
        </w:numPr>
        <w:spacing w:before="240" w:after="240" w:line="360" w:lineRule="auto"/>
        <w:ind w:left="426" w:right="49" w:hanging="426"/>
        <w:jc w:val="both"/>
        <w:rPr>
          <w:rFonts w:ascii="Palatino Linotype" w:hAnsi="Palatino Linotype" w:cs="Arial"/>
          <w:sz w:val="24"/>
          <w:szCs w:val="24"/>
        </w:rPr>
      </w:pPr>
      <w:r w:rsidRPr="00877AE6">
        <w:rPr>
          <w:rFonts w:ascii="Palatino Linotype" w:hAnsi="Palatino Linotype" w:cs="Arial"/>
          <w:sz w:val="24"/>
          <w:szCs w:val="24"/>
        </w:rPr>
        <w:t xml:space="preserve">Del expediente, objeto de mi presente voto </w:t>
      </w:r>
      <w:r>
        <w:rPr>
          <w:rFonts w:ascii="Palatino Linotype" w:hAnsi="Palatino Linotype" w:cs="Arial"/>
          <w:sz w:val="24"/>
          <w:szCs w:val="24"/>
        </w:rPr>
        <w:t>particular</w:t>
      </w:r>
      <w:r w:rsidRPr="00877AE6">
        <w:rPr>
          <w:rFonts w:ascii="Palatino Linotype" w:hAnsi="Palatino Linotype" w:cs="Arial"/>
          <w:sz w:val="24"/>
          <w:szCs w:val="24"/>
        </w:rPr>
        <w:t xml:space="preserve">, advierto que del estudio de la resolución dictada por la </w:t>
      </w:r>
      <w:r w:rsidR="0057636B">
        <w:rPr>
          <w:rFonts w:ascii="Palatino Linotype" w:hAnsi="Palatino Linotype" w:cs="Arial"/>
          <w:sz w:val="24"/>
          <w:szCs w:val="24"/>
        </w:rPr>
        <w:t>P</w:t>
      </w:r>
      <w:r w:rsidRPr="00877AE6">
        <w:rPr>
          <w:rFonts w:ascii="Palatino Linotype" w:hAnsi="Palatino Linotype" w:cs="Arial"/>
          <w:sz w:val="24"/>
          <w:szCs w:val="24"/>
        </w:rPr>
        <w:t xml:space="preserve">onencia </w:t>
      </w:r>
      <w:r w:rsidR="0057636B">
        <w:rPr>
          <w:rFonts w:ascii="Palatino Linotype" w:hAnsi="Palatino Linotype" w:cs="Arial"/>
          <w:sz w:val="24"/>
          <w:szCs w:val="24"/>
        </w:rPr>
        <w:t>Resolutor</w:t>
      </w:r>
      <w:r w:rsidRPr="00877AE6">
        <w:rPr>
          <w:rFonts w:ascii="Palatino Linotype" w:hAnsi="Palatino Linotype" w:cs="Arial"/>
          <w:sz w:val="24"/>
          <w:szCs w:val="24"/>
        </w:rPr>
        <w:t xml:space="preserve">a, se desprende lo siguiente: </w:t>
      </w:r>
    </w:p>
    <w:p w:rsidR="00877AE6" w:rsidRPr="00877AE6" w:rsidRDefault="00877AE6" w:rsidP="00877AE6">
      <w:pPr>
        <w:pStyle w:val="Prrafodelista"/>
        <w:spacing w:line="360" w:lineRule="auto"/>
        <w:rPr>
          <w:rFonts w:ascii="Palatino Linotype" w:hAnsi="Palatino Linotype" w:cs="Arial"/>
          <w:sz w:val="24"/>
          <w:szCs w:val="24"/>
        </w:rPr>
      </w:pPr>
    </w:p>
    <w:p w:rsidR="00877AE6" w:rsidRPr="00877AE6" w:rsidRDefault="00877AE6" w:rsidP="00877AE6">
      <w:pPr>
        <w:pStyle w:val="Prrafodelista"/>
        <w:numPr>
          <w:ilvl w:val="0"/>
          <w:numId w:val="40"/>
        </w:numPr>
        <w:spacing w:before="240" w:after="240" w:line="360" w:lineRule="auto"/>
        <w:ind w:left="851" w:right="616" w:hanging="295"/>
        <w:jc w:val="both"/>
        <w:rPr>
          <w:rFonts w:ascii="Palatino Linotype" w:hAnsi="Palatino Linotype" w:cs="Arial"/>
          <w:sz w:val="24"/>
          <w:szCs w:val="24"/>
        </w:rPr>
      </w:pPr>
      <w:r w:rsidRPr="00877AE6">
        <w:rPr>
          <w:rFonts w:ascii="Palatino Linotype" w:hAnsi="Palatino Linotype" w:cs="Arial"/>
          <w:sz w:val="24"/>
          <w:szCs w:val="24"/>
        </w:rPr>
        <w:t xml:space="preserve">El Sujeto Obligado </w:t>
      </w:r>
      <w:r w:rsidR="00343BFF">
        <w:rPr>
          <w:rFonts w:ascii="Palatino Linotype" w:hAnsi="Palatino Linotype" w:cs="Arial"/>
          <w:sz w:val="24"/>
          <w:szCs w:val="24"/>
        </w:rPr>
        <w:t xml:space="preserve">pretendió </w:t>
      </w:r>
      <w:r w:rsidRPr="00877AE6">
        <w:rPr>
          <w:rFonts w:ascii="Palatino Linotype" w:hAnsi="Palatino Linotype" w:cs="Arial"/>
          <w:sz w:val="24"/>
          <w:szCs w:val="24"/>
        </w:rPr>
        <w:t>reserv</w:t>
      </w:r>
      <w:r w:rsidR="00343BFF">
        <w:rPr>
          <w:rFonts w:ascii="Palatino Linotype" w:hAnsi="Palatino Linotype" w:cs="Arial"/>
          <w:sz w:val="24"/>
          <w:szCs w:val="24"/>
        </w:rPr>
        <w:t>ar</w:t>
      </w:r>
      <w:r w:rsidRPr="00877AE6">
        <w:rPr>
          <w:rFonts w:ascii="Palatino Linotype" w:hAnsi="Palatino Linotype" w:cs="Arial"/>
          <w:sz w:val="24"/>
          <w:szCs w:val="24"/>
        </w:rPr>
        <w:t xml:space="preserve"> la información sin analizar la naturaleza de la misma, sin ajustar las circunstancias de modo tiempo y lugar a la hipótesis que configura la reserva, por lo que la prueba de daño que pretendió realizar fue de manera incorrecta.</w:t>
      </w:r>
    </w:p>
    <w:p w:rsidR="00877AE6" w:rsidRPr="00877AE6" w:rsidRDefault="00877AE6" w:rsidP="00877AE6">
      <w:pPr>
        <w:pStyle w:val="Prrafodelista"/>
        <w:spacing w:before="240" w:after="240" w:line="360" w:lineRule="auto"/>
        <w:ind w:left="567" w:right="616" w:hanging="11"/>
        <w:jc w:val="both"/>
        <w:rPr>
          <w:rFonts w:ascii="Palatino Linotype" w:hAnsi="Palatino Linotype" w:cs="Arial"/>
          <w:sz w:val="24"/>
          <w:szCs w:val="24"/>
        </w:rPr>
      </w:pPr>
    </w:p>
    <w:p w:rsidR="00877AE6" w:rsidRPr="00877AE6" w:rsidRDefault="00877AE6" w:rsidP="00877AE6">
      <w:pPr>
        <w:pStyle w:val="Prrafodelista"/>
        <w:numPr>
          <w:ilvl w:val="0"/>
          <w:numId w:val="40"/>
        </w:numPr>
        <w:spacing w:after="0" w:line="360" w:lineRule="auto"/>
        <w:ind w:left="851" w:right="616" w:hanging="295"/>
        <w:jc w:val="both"/>
        <w:rPr>
          <w:rFonts w:ascii="Palatino Linotype" w:hAnsi="Palatino Linotype" w:cs="Arial"/>
          <w:sz w:val="24"/>
          <w:szCs w:val="24"/>
        </w:rPr>
      </w:pPr>
      <w:r w:rsidRPr="00877AE6">
        <w:rPr>
          <w:rFonts w:ascii="Palatino Linotype" w:hAnsi="Palatino Linotype" w:cs="Arial"/>
          <w:sz w:val="24"/>
          <w:szCs w:val="24"/>
        </w:rPr>
        <w:t xml:space="preserve">La ponencia tampoco analizó tales circunstancias, ni materializo la facultad que la ley confiere en sus artículos 182 y 185 de la Ley de la materia. </w:t>
      </w:r>
    </w:p>
    <w:p w:rsidR="00877AE6" w:rsidRPr="00877AE6" w:rsidRDefault="00877AE6" w:rsidP="00877AE6">
      <w:pPr>
        <w:pStyle w:val="Prrafodelista"/>
        <w:spacing w:line="360" w:lineRule="auto"/>
        <w:ind w:left="1571" w:right="49"/>
        <w:jc w:val="both"/>
        <w:rPr>
          <w:rFonts w:ascii="Palatino Linotype" w:hAnsi="Palatino Linotype" w:cs="Arial"/>
          <w:sz w:val="24"/>
          <w:szCs w:val="24"/>
        </w:rPr>
      </w:pPr>
    </w:p>
    <w:p w:rsidR="00877AE6" w:rsidRPr="00877AE6" w:rsidRDefault="00877AE6" w:rsidP="00877AE6">
      <w:pPr>
        <w:pStyle w:val="Prrafodelista"/>
        <w:numPr>
          <w:ilvl w:val="0"/>
          <w:numId w:val="2"/>
        </w:numPr>
        <w:spacing w:before="240" w:after="240" w:line="360" w:lineRule="auto"/>
        <w:ind w:left="426" w:right="49" w:hanging="426"/>
        <w:jc w:val="both"/>
        <w:rPr>
          <w:rFonts w:ascii="Palatino Linotype" w:hAnsi="Palatino Linotype" w:cs="Arial"/>
          <w:sz w:val="24"/>
          <w:szCs w:val="24"/>
        </w:rPr>
      </w:pPr>
      <w:r w:rsidRPr="00877AE6">
        <w:rPr>
          <w:rFonts w:ascii="Palatino Linotype" w:hAnsi="Palatino Linotype" w:cs="Arial"/>
          <w:sz w:val="24"/>
          <w:szCs w:val="24"/>
        </w:rPr>
        <w:t xml:space="preserve">De lo anterior, se  entiende que en ningún momento el Sujeto Obligado estudió ni abordó las cuatro fases de reserva y a consecuencia no realizó una prueba de daño debidamente fundamentada ni motivada, tal como lo establece la fracción X del artículo 140 de la Ley de Transparencia y Acceso a la Información Pública del Estado de México, de tal manera resulta erróneo reservar la información.  </w:t>
      </w:r>
    </w:p>
    <w:p w:rsidR="00877AE6" w:rsidRPr="00877AE6" w:rsidRDefault="00877AE6" w:rsidP="00877AE6">
      <w:pPr>
        <w:pStyle w:val="Prrafodelista"/>
        <w:spacing w:line="360" w:lineRule="auto"/>
        <w:ind w:left="0" w:right="49"/>
        <w:jc w:val="both"/>
        <w:rPr>
          <w:rFonts w:ascii="Palatino Linotype" w:hAnsi="Palatino Linotype" w:cs="Arial"/>
          <w:sz w:val="24"/>
          <w:szCs w:val="24"/>
        </w:rPr>
      </w:pPr>
    </w:p>
    <w:p w:rsidR="00630412" w:rsidRDefault="00877AE6" w:rsidP="00877AE6">
      <w:pPr>
        <w:pStyle w:val="Prrafodelista"/>
        <w:numPr>
          <w:ilvl w:val="0"/>
          <w:numId w:val="2"/>
        </w:numPr>
        <w:spacing w:before="240" w:after="240" w:line="360" w:lineRule="auto"/>
        <w:ind w:left="426" w:right="49" w:hanging="426"/>
        <w:jc w:val="both"/>
        <w:rPr>
          <w:rFonts w:ascii="Palatino Linotype" w:hAnsi="Palatino Linotype" w:cs="Arial"/>
          <w:sz w:val="24"/>
          <w:szCs w:val="24"/>
        </w:rPr>
      </w:pPr>
      <w:r w:rsidRPr="00877AE6">
        <w:rPr>
          <w:rFonts w:ascii="Palatino Linotype" w:hAnsi="Palatino Linotype" w:cs="Arial"/>
          <w:sz w:val="24"/>
          <w:szCs w:val="24"/>
        </w:rPr>
        <w:t xml:space="preserve">Respecto al análisis realizado por la ponencia resolutora tampoco analizó debidamente tales circunstancias, solamente se constriñe a señalar que </w:t>
      </w:r>
      <w:r w:rsidR="00630412">
        <w:rPr>
          <w:rFonts w:ascii="Palatino Linotype" w:hAnsi="Palatino Linotype" w:cs="Arial"/>
          <w:sz w:val="24"/>
          <w:szCs w:val="24"/>
        </w:rPr>
        <w:t>se ordena la información, dejando una salvedad que para el caso de que se actualice una causal de reserva, se proceda en esos términos, situación que no debiera dejarse como una salvedad; sino que debió ser la propia Ponencia Resolutora, quien determinara si era o no información clasificada.</w:t>
      </w:r>
    </w:p>
    <w:p w:rsidR="00877AE6" w:rsidRPr="00877AE6" w:rsidRDefault="00877AE6" w:rsidP="00877AE6">
      <w:pPr>
        <w:pStyle w:val="Prrafodelista"/>
        <w:spacing w:line="360" w:lineRule="auto"/>
        <w:rPr>
          <w:rFonts w:ascii="Palatino Linotype" w:hAnsi="Palatino Linotype" w:cs="Arial"/>
          <w:sz w:val="24"/>
          <w:szCs w:val="24"/>
        </w:rPr>
      </w:pPr>
    </w:p>
    <w:p w:rsidR="00877AE6" w:rsidRPr="00877AE6" w:rsidRDefault="00877AE6" w:rsidP="00877AE6">
      <w:pPr>
        <w:pStyle w:val="Prrafodelista"/>
        <w:numPr>
          <w:ilvl w:val="0"/>
          <w:numId w:val="2"/>
        </w:numPr>
        <w:spacing w:after="0" w:line="360" w:lineRule="auto"/>
        <w:ind w:left="426" w:right="49" w:hanging="426"/>
        <w:jc w:val="both"/>
        <w:rPr>
          <w:rFonts w:ascii="Palatino Linotype" w:hAnsi="Palatino Linotype" w:cs="Arial"/>
          <w:sz w:val="24"/>
          <w:szCs w:val="24"/>
        </w:rPr>
      </w:pPr>
      <w:r w:rsidRPr="00877AE6">
        <w:rPr>
          <w:rFonts w:ascii="Palatino Linotype" w:hAnsi="Palatino Linotype" w:cs="Arial"/>
          <w:sz w:val="24"/>
          <w:szCs w:val="24"/>
        </w:rPr>
        <w:t xml:space="preserve">Es imprescriptible señalar que en el presente año, este Órgano Resolutor ha sido sometido a un estricto control por parte del Instituto Nacional de Transparencia, Acceso a la Información y Protección de Datos Personales (INAI), como resultado de los Recursos de Inconformidad </w:t>
      </w:r>
      <w:r w:rsidRPr="00877AE6">
        <w:rPr>
          <w:rFonts w:ascii="Palatino Linotype" w:hAnsi="Palatino Linotype" w:cs="Arial"/>
          <w:sz w:val="24"/>
          <w:szCs w:val="24"/>
          <w:lang w:eastAsia="es-MX"/>
        </w:rPr>
        <w:t>069/18 y RIA 082/18</w:t>
      </w:r>
      <w:r w:rsidRPr="00877AE6">
        <w:rPr>
          <w:rFonts w:ascii="Palatino Linotype" w:hAnsi="Palatino Linotype" w:cs="Arial"/>
          <w:sz w:val="24"/>
          <w:szCs w:val="24"/>
        </w:rPr>
        <w:t xml:space="preserve">, en los que el Órgano Garante Nacional, puntualmente dirigió a este Órgano Garante local, que para invocar la causal de reserva, se deben de agotar todos y cada uno de los requisitos. </w:t>
      </w:r>
    </w:p>
    <w:p w:rsidR="00877AE6" w:rsidRPr="00877AE6" w:rsidRDefault="00877AE6" w:rsidP="00877AE6">
      <w:pPr>
        <w:pStyle w:val="Prrafodelista"/>
        <w:spacing w:line="360" w:lineRule="auto"/>
        <w:ind w:left="0" w:right="49"/>
        <w:jc w:val="both"/>
        <w:rPr>
          <w:rFonts w:ascii="Palatino Linotype" w:hAnsi="Palatino Linotype" w:cs="Arial"/>
          <w:sz w:val="24"/>
          <w:szCs w:val="24"/>
        </w:rPr>
      </w:pPr>
    </w:p>
    <w:p w:rsidR="00877AE6" w:rsidRPr="00877AE6" w:rsidRDefault="00877AE6" w:rsidP="00877AE6">
      <w:pPr>
        <w:pStyle w:val="Prrafodelista"/>
        <w:numPr>
          <w:ilvl w:val="0"/>
          <w:numId w:val="2"/>
        </w:numPr>
        <w:spacing w:after="0" w:line="360" w:lineRule="auto"/>
        <w:ind w:left="426" w:right="49" w:hanging="426"/>
        <w:jc w:val="both"/>
        <w:rPr>
          <w:rFonts w:ascii="Palatino Linotype" w:hAnsi="Palatino Linotype" w:cs="Arial"/>
          <w:sz w:val="24"/>
          <w:szCs w:val="24"/>
        </w:rPr>
      </w:pPr>
      <w:r w:rsidRPr="00877AE6">
        <w:rPr>
          <w:rFonts w:ascii="Palatino Linotype" w:hAnsi="Palatino Linotype" w:cs="Arial"/>
          <w:sz w:val="24"/>
          <w:szCs w:val="24"/>
        </w:rPr>
        <w:t xml:space="preserve">Por lo que, es de suma importancia atender las observaciones que ha realizado nuestra Autoridad Nacional en  materia de transparencia, al señalarnos que la propuesta de reserva de la información, sin configurar los requisitos señalados para ésta, afecta la certidumbre jurídica, daña la esfera más íntima de derechos del particular, al tenor de que, el limitarse a realizar un estudio normativo de contraste con diversos ordenamientos jurídicos, es únicamente un ejercicio de argumentación, más no comprende, en estricto sentido un reclamo de derechos subjetivos, una generación de derechos, reclamo de una de las partes u otras que requieran un análisis sigiloso y confidencial del juzgador.   </w:t>
      </w:r>
    </w:p>
    <w:p w:rsidR="00877AE6" w:rsidRPr="00877AE6" w:rsidRDefault="00877AE6" w:rsidP="00877AE6">
      <w:pPr>
        <w:pStyle w:val="Prrafodelista"/>
        <w:spacing w:line="360" w:lineRule="auto"/>
        <w:ind w:left="0" w:right="49"/>
        <w:jc w:val="both"/>
        <w:rPr>
          <w:rFonts w:ascii="Palatino Linotype" w:hAnsi="Palatino Linotype" w:cs="Arial"/>
          <w:sz w:val="24"/>
          <w:szCs w:val="24"/>
        </w:rPr>
      </w:pPr>
    </w:p>
    <w:p w:rsidR="00877AE6" w:rsidRPr="00877AE6" w:rsidRDefault="00877AE6" w:rsidP="00FE083B">
      <w:pPr>
        <w:pStyle w:val="Prrafodelista"/>
        <w:numPr>
          <w:ilvl w:val="0"/>
          <w:numId w:val="2"/>
        </w:numPr>
        <w:spacing w:after="0" w:line="360" w:lineRule="auto"/>
        <w:ind w:left="426" w:right="49" w:hanging="426"/>
        <w:jc w:val="both"/>
        <w:rPr>
          <w:rFonts w:ascii="Palatino Linotype" w:hAnsi="Palatino Linotype" w:cs="Arial"/>
          <w:sz w:val="24"/>
          <w:szCs w:val="24"/>
        </w:rPr>
      </w:pPr>
      <w:r w:rsidRPr="00877AE6">
        <w:rPr>
          <w:rFonts w:ascii="Palatino Linotype" w:hAnsi="Palatino Linotype" w:cs="Arial"/>
          <w:sz w:val="24"/>
          <w:szCs w:val="24"/>
        </w:rPr>
        <w:t>Es necesario señalar que el Derecho de Acceso a la Información (DAI), tiene una justificación clara y precisa que se deriva de un aspecto de singular importancia, ya que lo que tratamos y pretendemos resolver consiste en el ejercicio de un derecho humano constitucional y convencionalmente reconocido.</w:t>
      </w:r>
    </w:p>
    <w:p w:rsidR="00877AE6" w:rsidRPr="00877AE6" w:rsidRDefault="00877AE6" w:rsidP="00877AE6">
      <w:pPr>
        <w:pStyle w:val="Prrafodelista"/>
        <w:spacing w:line="360" w:lineRule="auto"/>
        <w:rPr>
          <w:rFonts w:ascii="Palatino Linotype" w:hAnsi="Palatino Linotype" w:cs="Arial"/>
          <w:sz w:val="24"/>
          <w:szCs w:val="24"/>
        </w:rPr>
      </w:pPr>
    </w:p>
    <w:p w:rsidR="00877AE6" w:rsidRPr="00877AE6" w:rsidRDefault="00877AE6" w:rsidP="00FE083B">
      <w:pPr>
        <w:pStyle w:val="Prrafodelista"/>
        <w:numPr>
          <w:ilvl w:val="0"/>
          <w:numId w:val="2"/>
        </w:numPr>
        <w:spacing w:after="0" w:line="360" w:lineRule="auto"/>
        <w:ind w:left="426" w:right="49" w:hanging="426"/>
        <w:jc w:val="both"/>
        <w:rPr>
          <w:rFonts w:ascii="Palatino Linotype" w:hAnsi="Palatino Linotype" w:cs="Arial"/>
          <w:sz w:val="24"/>
          <w:szCs w:val="24"/>
        </w:rPr>
      </w:pPr>
      <w:r w:rsidRPr="00877AE6">
        <w:rPr>
          <w:rFonts w:ascii="Palatino Linotype" w:hAnsi="Palatino Linotype" w:cs="Arial"/>
          <w:sz w:val="24"/>
          <w:szCs w:val="24"/>
        </w:rPr>
        <w:t xml:space="preserve"> Por tanto, al tratar directamente con un derecho humano, todas las autoridades nos vemos impuestas del supremo mandato constitucional consistente en la promoción, respeto, protección y </w:t>
      </w:r>
      <w:r w:rsidRPr="00877AE6">
        <w:rPr>
          <w:rFonts w:ascii="Palatino Linotype" w:hAnsi="Palatino Linotype" w:cs="Arial"/>
          <w:b/>
          <w:sz w:val="24"/>
          <w:szCs w:val="24"/>
        </w:rPr>
        <w:t>garantía de los derechos humanos</w:t>
      </w:r>
      <w:r w:rsidRPr="00877AE6">
        <w:rPr>
          <w:rFonts w:ascii="Palatino Linotype" w:hAnsi="Palatino Linotype" w:cs="Arial"/>
          <w:sz w:val="24"/>
          <w:szCs w:val="24"/>
        </w:rPr>
        <w:t>, de tal forma que cualquier esfuerzo que se haga en el sentido de cumplir con dicho mandato no resulta ocioso ni sobra sino demuestra el grado de compromiso de la autoridad con este aspecto toral de la reforma constitucional del 10 de junio de 2011.</w:t>
      </w:r>
    </w:p>
    <w:p w:rsidR="00877AE6" w:rsidRPr="00877AE6" w:rsidRDefault="00877AE6" w:rsidP="00877AE6">
      <w:pPr>
        <w:pStyle w:val="Prrafodelista"/>
        <w:spacing w:before="240" w:after="240" w:line="360" w:lineRule="auto"/>
        <w:ind w:left="0" w:right="49"/>
        <w:jc w:val="both"/>
        <w:rPr>
          <w:rFonts w:ascii="Palatino Linotype" w:hAnsi="Palatino Linotype" w:cs="Arial"/>
          <w:sz w:val="24"/>
          <w:szCs w:val="24"/>
        </w:rPr>
      </w:pPr>
    </w:p>
    <w:p w:rsidR="00877AE6" w:rsidRPr="00877AE6" w:rsidRDefault="00343BFF" w:rsidP="00FE083B">
      <w:pPr>
        <w:pStyle w:val="Prrafodelista"/>
        <w:numPr>
          <w:ilvl w:val="0"/>
          <w:numId w:val="2"/>
        </w:numPr>
        <w:spacing w:after="0" w:line="360" w:lineRule="auto"/>
        <w:ind w:left="426" w:hanging="426"/>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663360" behindDoc="0" locked="0" layoutInCell="1" allowOverlap="1">
                <wp:simplePos x="0" y="0"/>
                <wp:positionH relativeFrom="column">
                  <wp:posOffset>297815</wp:posOffset>
                </wp:positionH>
                <wp:positionV relativeFrom="paragraph">
                  <wp:posOffset>1899285</wp:posOffset>
                </wp:positionV>
                <wp:extent cx="5118100" cy="1276350"/>
                <wp:effectExtent l="0" t="0" r="25400" b="19050"/>
                <wp:wrapNone/>
                <wp:docPr id="2" name="Conector recto 2"/>
                <wp:cNvGraphicFramePr/>
                <a:graphic xmlns:a="http://schemas.openxmlformats.org/drawingml/2006/main">
                  <a:graphicData uri="http://schemas.microsoft.com/office/word/2010/wordprocessingShape">
                    <wps:wsp>
                      <wps:cNvCnPr/>
                      <wps:spPr>
                        <a:xfrm>
                          <a:off x="0" y="0"/>
                          <a:ext cx="5118100" cy="127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2611507" id="Conector recto 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3.45pt,149.55pt" to="426.45pt,25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" strokecolor="black [3200]" strokeweight=".5pt">
                <v:stroke joinstyle="miter"/>
              </v:line>
            </w:pict>
          </mc:Fallback>
        </mc:AlternateContent>
      </w:r>
      <w:r w:rsidR="00877AE6" w:rsidRPr="00877AE6">
        <w:rPr>
          <w:rFonts w:ascii="Palatino Linotype" w:hAnsi="Palatino Linotype" w:cs="Arial"/>
          <w:sz w:val="24"/>
          <w:szCs w:val="24"/>
        </w:rPr>
        <w:t xml:space="preserve">En este sentido el Dr. Miguel Carbonell ha señalado que: “Queda claro, en consecuencia, que las obligaciones de promoción, respeto, protección y garantía de los derechos corren a cargo de todos los poderes, incluso </w:t>
      </w:r>
      <w:r w:rsidR="00877AE6" w:rsidRPr="00877AE6">
        <w:rPr>
          <w:rFonts w:ascii="Palatino Linotype" w:hAnsi="Palatino Linotype" w:cs="Arial"/>
          <w:b/>
          <w:sz w:val="24"/>
          <w:szCs w:val="24"/>
        </w:rPr>
        <w:t>considerando que algún nivel de gobierno tenga obligaciones reforzadas hacia ciertos derechos.</w:t>
      </w:r>
      <w:r w:rsidR="00877AE6" w:rsidRPr="00877AE6">
        <w:rPr>
          <w:rFonts w:ascii="Palatino Linotype" w:hAnsi="Palatino Linotype" w:cs="Arial"/>
          <w:sz w:val="24"/>
          <w:szCs w:val="24"/>
        </w:rPr>
        <w:t xml:space="preserve"> A partir de tales deberes generales, podemos afirmar que las autoridades de todos los niveles de gobierno también tienen la obligación positiva de </w:t>
      </w:r>
      <w:r w:rsidR="00877AE6" w:rsidRPr="00877AE6">
        <w:rPr>
          <w:rFonts w:ascii="Palatino Linotype" w:hAnsi="Palatino Linotype" w:cs="Arial"/>
          <w:b/>
          <w:sz w:val="24"/>
          <w:szCs w:val="24"/>
        </w:rPr>
        <w:t>tomar todas las medidas que sean pertinentes para tutelar y hacer eficaz un derecho</w:t>
      </w:r>
      <w:r w:rsidR="00877AE6" w:rsidRPr="00877AE6">
        <w:rPr>
          <w:rFonts w:ascii="Palatino Linotype" w:hAnsi="Palatino Linotype" w:cs="Arial"/>
          <w:sz w:val="24"/>
          <w:szCs w:val="24"/>
        </w:rPr>
        <w:t>”.</w:t>
      </w:r>
      <w:r w:rsidR="00877AE6" w:rsidRPr="00877AE6">
        <w:rPr>
          <w:rStyle w:val="Refdenotaalpie"/>
          <w:rFonts w:ascii="Palatino Linotype" w:hAnsi="Palatino Linotype" w:cs="Arial"/>
          <w:sz w:val="24"/>
          <w:szCs w:val="24"/>
        </w:rPr>
        <w:footnoteReference w:id="1"/>
      </w:r>
    </w:p>
    <w:p w:rsidR="00877AE6" w:rsidRPr="00877AE6" w:rsidRDefault="00877AE6" w:rsidP="00877AE6">
      <w:pPr>
        <w:pStyle w:val="Prrafodelista"/>
        <w:spacing w:line="360" w:lineRule="auto"/>
        <w:ind w:left="0"/>
        <w:jc w:val="both"/>
        <w:rPr>
          <w:rFonts w:ascii="Palatino Linotype" w:hAnsi="Palatino Linotype" w:cs="Arial"/>
          <w:sz w:val="24"/>
          <w:szCs w:val="24"/>
        </w:rPr>
      </w:pPr>
    </w:p>
    <w:p w:rsidR="00877AE6" w:rsidRPr="00877AE6" w:rsidRDefault="00877AE6" w:rsidP="00FE083B">
      <w:pPr>
        <w:pStyle w:val="Prrafodelista"/>
        <w:numPr>
          <w:ilvl w:val="0"/>
          <w:numId w:val="2"/>
        </w:numPr>
        <w:spacing w:after="0" w:line="360" w:lineRule="auto"/>
        <w:ind w:left="426" w:hanging="426"/>
        <w:jc w:val="both"/>
        <w:rPr>
          <w:rFonts w:ascii="Palatino Linotype" w:hAnsi="Palatino Linotype" w:cs="Arial"/>
          <w:sz w:val="24"/>
          <w:szCs w:val="24"/>
        </w:rPr>
      </w:pPr>
      <w:r w:rsidRPr="00877AE6">
        <w:rPr>
          <w:rFonts w:ascii="Palatino Linotype" w:hAnsi="Palatino Linotype" w:cs="Arial"/>
          <w:sz w:val="24"/>
          <w:szCs w:val="24"/>
        </w:rPr>
        <w:t xml:space="preserve">Al tenor de lo anterior, y al ser el Instituto de Transparencia y Acceso a la Información, la autoridad protectora de tal derecho reconocido en diversas normatividades, el que suscribe dicho voto no se percató del cumplimiento de la facultad consagrada en la ley de la materia en su artículo 185, fracción V,  donde a la letra refiere que: </w:t>
      </w:r>
    </w:p>
    <w:p w:rsidR="00877AE6" w:rsidRPr="00877AE6" w:rsidRDefault="00877AE6" w:rsidP="00877AE6">
      <w:pPr>
        <w:pStyle w:val="Prrafodelista"/>
        <w:spacing w:line="360" w:lineRule="auto"/>
        <w:ind w:left="360"/>
        <w:jc w:val="both"/>
        <w:rPr>
          <w:rFonts w:ascii="Palatino Linotype" w:hAnsi="Palatino Linotype" w:cs="Arial"/>
          <w:sz w:val="24"/>
          <w:szCs w:val="24"/>
        </w:rPr>
      </w:pPr>
    </w:p>
    <w:p w:rsidR="00877AE6" w:rsidRPr="00877AE6" w:rsidRDefault="00877AE6" w:rsidP="00877AE6">
      <w:pPr>
        <w:pStyle w:val="Prrafodelista"/>
        <w:spacing w:line="360" w:lineRule="auto"/>
        <w:ind w:left="851" w:right="616"/>
        <w:jc w:val="both"/>
        <w:rPr>
          <w:rFonts w:ascii="Palatino Linotype" w:hAnsi="Palatino Linotype" w:cs="Arial"/>
          <w:sz w:val="24"/>
          <w:szCs w:val="24"/>
        </w:rPr>
      </w:pPr>
      <w:r w:rsidRPr="00877AE6">
        <w:rPr>
          <w:rFonts w:ascii="Palatino Linotype" w:hAnsi="Palatino Linotype" w:cs="Arial"/>
          <w:sz w:val="24"/>
          <w:szCs w:val="24"/>
        </w:rPr>
        <w:t>“Artículo 185. El instituto resolverá el recurso de revisión conforme a lo siguiente:</w:t>
      </w:r>
    </w:p>
    <w:p w:rsidR="00877AE6" w:rsidRPr="00877AE6" w:rsidRDefault="00877AE6" w:rsidP="00877AE6">
      <w:pPr>
        <w:pStyle w:val="Prrafodelista"/>
        <w:spacing w:line="360" w:lineRule="auto"/>
        <w:ind w:left="851" w:right="616"/>
        <w:jc w:val="both"/>
        <w:rPr>
          <w:rFonts w:ascii="Palatino Linotype" w:hAnsi="Palatino Linotype" w:cs="Arial"/>
          <w:sz w:val="24"/>
          <w:szCs w:val="24"/>
        </w:rPr>
      </w:pPr>
      <w:r w:rsidRPr="00877AE6">
        <w:rPr>
          <w:rFonts w:ascii="Palatino Linotype" w:hAnsi="Palatino Linotype" w:cs="Arial"/>
          <w:sz w:val="24"/>
          <w:szCs w:val="24"/>
        </w:rPr>
        <w:t xml:space="preserve">(…) </w:t>
      </w:r>
    </w:p>
    <w:p w:rsidR="00877AE6" w:rsidRPr="00877AE6" w:rsidRDefault="00877AE6" w:rsidP="00877AE6">
      <w:pPr>
        <w:pStyle w:val="Prrafodelista"/>
        <w:spacing w:line="360" w:lineRule="auto"/>
        <w:ind w:left="851" w:right="616"/>
        <w:jc w:val="both"/>
        <w:rPr>
          <w:rFonts w:ascii="Palatino Linotype" w:hAnsi="Palatino Linotype" w:cs="Arial"/>
          <w:sz w:val="24"/>
          <w:szCs w:val="24"/>
        </w:rPr>
      </w:pPr>
      <w:r w:rsidRPr="00877AE6">
        <w:rPr>
          <w:rFonts w:ascii="Palatino Linotype" w:hAnsi="Palatino Linotype" w:cs="Arial"/>
          <w:sz w:val="24"/>
          <w:szCs w:val="24"/>
        </w:rPr>
        <w:t xml:space="preserve">V. La o el Comisionado ponente podrá determinar la celebración de audiencias con las partes durante la sustanciación del proceso. </w:t>
      </w:r>
    </w:p>
    <w:p w:rsidR="00877AE6" w:rsidRPr="00877AE6" w:rsidRDefault="00877AE6" w:rsidP="00877AE6">
      <w:pPr>
        <w:pStyle w:val="Prrafodelista"/>
        <w:spacing w:line="360" w:lineRule="auto"/>
        <w:ind w:left="851" w:right="616"/>
        <w:jc w:val="both"/>
        <w:rPr>
          <w:rFonts w:ascii="Palatino Linotype" w:hAnsi="Palatino Linotype" w:cs="Arial"/>
          <w:sz w:val="24"/>
          <w:szCs w:val="24"/>
        </w:rPr>
      </w:pPr>
      <w:r w:rsidRPr="00877AE6">
        <w:rPr>
          <w:rFonts w:ascii="Palatino Linotype" w:hAnsi="Palatino Linotype" w:cs="Arial"/>
          <w:sz w:val="24"/>
          <w:szCs w:val="24"/>
        </w:rPr>
        <w:t>(…) “</w:t>
      </w:r>
    </w:p>
    <w:p w:rsidR="00877AE6" w:rsidRPr="00877AE6" w:rsidRDefault="00877AE6" w:rsidP="00877AE6">
      <w:pPr>
        <w:spacing w:line="360" w:lineRule="auto"/>
        <w:jc w:val="both"/>
        <w:rPr>
          <w:rFonts w:ascii="Palatino Linotype" w:hAnsi="Palatino Linotype" w:cs="Arial"/>
          <w:sz w:val="24"/>
          <w:szCs w:val="24"/>
        </w:rPr>
      </w:pPr>
    </w:p>
    <w:p w:rsidR="00877AE6" w:rsidRPr="00877AE6" w:rsidRDefault="00877AE6" w:rsidP="00877AE6">
      <w:pPr>
        <w:pStyle w:val="Prrafodelista"/>
        <w:numPr>
          <w:ilvl w:val="0"/>
          <w:numId w:val="2"/>
        </w:numPr>
        <w:spacing w:after="0" w:line="360" w:lineRule="auto"/>
        <w:jc w:val="both"/>
        <w:rPr>
          <w:rFonts w:ascii="Palatino Linotype" w:hAnsi="Palatino Linotype" w:cs="Arial"/>
          <w:sz w:val="24"/>
          <w:szCs w:val="24"/>
        </w:rPr>
      </w:pPr>
      <w:r w:rsidRPr="00877AE6">
        <w:rPr>
          <w:rFonts w:ascii="Palatino Linotype" w:hAnsi="Palatino Linotype" w:cs="Arial"/>
          <w:sz w:val="24"/>
          <w:szCs w:val="24"/>
        </w:rPr>
        <w:t>En relación con</w:t>
      </w:r>
      <w:r w:rsidR="00FE083B">
        <w:rPr>
          <w:rFonts w:ascii="Palatino Linotype" w:hAnsi="Palatino Linotype" w:cs="Arial"/>
          <w:sz w:val="24"/>
          <w:szCs w:val="24"/>
        </w:rPr>
        <w:t xml:space="preserve"> lo anterior, considero que la Ponencia R</w:t>
      </w:r>
      <w:r w:rsidRPr="00877AE6">
        <w:rPr>
          <w:rFonts w:ascii="Palatino Linotype" w:hAnsi="Palatino Linotype" w:cs="Arial"/>
          <w:sz w:val="24"/>
          <w:szCs w:val="24"/>
        </w:rPr>
        <w:t xml:space="preserve">esolutora </w:t>
      </w:r>
      <w:r w:rsidR="00630412">
        <w:rPr>
          <w:rFonts w:ascii="Palatino Linotype" w:hAnsi="Palatino Linotype" w:cs="Arial"/>
          <w:sz w:val="24"/>
          <w:szCs w:val="24"/>
        </w:rPr>
        <w:t xml:space="preserve">–insisto–, </w:t>
      </w:r>
      <w:r w:rsidRPr="00877AE6">
        <w:rPr>
          <w:rFonts w:ascii="Palatino Linotype" w:hAnsi="Palatino Linotype" w:cs="Arial"/>
          <w:sz w:val="24"/>
          <w:szCs w:val="24"/>
        </w:rPr>
        <w:t>debió de pronunciarse sobre la naturaleza de lo requerid</w:t>
      </w:r>
      <w:r w:rsidR="00FE083B">
        <w:rPr>
          <w:rFonts w:ascii="Palatino Linotype" w:hAnsi="Palatino Linotype" w:cs="Arial"/>
          <w:sz w:val="24"/>
          <w:szCs w:val="24"/>
        </w:rPr>
        <w:t>o sin ningún tipo de ambigüedad;</w:t>
      </w:r>
      <w:r w:rsidRPr="00877AE6">
        <w:rPr>
          <w:rFonts w:ascii="Palatino Linotype" w:hAnsi="Palatino Linotype" w:cs="Arial"/>
          <w:sz w:val="24"/>
          <w:szCs w:val="24"/>
        </w:rPr>
        <w:t xml:space="preserve"> es decir, tuvo que determinar si la información tenía el carácter de reserva o no, sin dejarlo al arbitrio del sujeto obligado, efectuando dicho análisis atendiendo a lo establecido en el artículo 182 de la ley en la materia, donde se señala que (…) los Comisionados deberán tener acceso a la información clasificada para determinar su naturaleza según se requiera. El acceso se dará de conformidad con la normatividad previamente establecida por los sujetos obligados para el resguardo o salvaguarda de la información a través de la celebración de audiencias como lo señalo en el párrafo que antecede, todo esto con el propósito de dar mayor certeza a la resolución dictada o por el contrario conocer fehacientemente si la información en posesión del sujeto obligado es susceptible de reservarse. </w:t>
      </w:r>
    </w:p>
    <w:p w:rsidR="00877AE6" w:rsidRPr="00877AE6" w:rsidRDefault="00877AE6" w:rsidP="00877AE6">
      <w:pPr>
        <w:pStyle w:val="Prrafodelista"/>
        <w:spacing w:line="360" w:lineRule="auto"/>
        <w:ind w:left="360"/>
        <w:jc w:val="both"/>
        <w:rPr>
          <w:rFonts w:ascii="Palatino Linotype" w:hAnsi="Palatino Linotype" w:cs="Arial"/>
          <w:sz w:val="24"/>
          <w:szCs w:val="24"/>
        </w:rPr>
      </w:pPr>
    </w:p>
    <w:p w:rsidR="00FE083B" w:rsidRDefault="00FE083B" w:rsidP="00877AE6">
      <w:pPr>
        <w:pStyle w:val="Prrafodelista"/>
        <w:numPr>
          <w:ilvl w:val="0"/>
          <w:numId w:val="2"/>
        </w:numPr>
        <w:spacing w:line="360" w:lineRule="auto"/>
        <w:jc w:val="both"/>
        <w:rPr>
          <w:rFonts w:ascii="Palatino Linotype" w:hAnsi="Palatino Linotype" w:cs="Arial"/>
          <w:sz w:val="24"/>
          <w:szCs w:val="24"/>
        </w:rPr>
      </w:pPr>
      <w:r>
        <w:rPr>
          <w:rFonts w:ascii="Palatino Linotype" w:hAnsi="Palatino Linotype" w:cs="Arial"/>
          <w:sz w:val="24"/>
          <w:szCs w:val="24"/>
        </w:rPr>
        <w:t xml:space="preserve">Ahora bien, por lo que hace a este caso particular y a manera de conclusión, considero que </w:t>
      </w:r>
      <w:r w:rsidR="00343BFF">
        <w:rPr>
          <w:rFonts w:ascii="Palatino Linotype" w:hAnsi="Palatino Linotype" w:cs="Arial"/>
          <w:sz w:val="24"/>
          <w:szCs w:val="24"/>
        </w:rPr>
        <w:t xml:space="preserve">no </w:t>
      </w:r>
      <w:r>
        <w:rPr>
          <w:rFonts w:ascii="Palatino Linotype" w:hAnsi="Palatino Linotype" w:cs="Arial"/>
          <w:sz w:val="24"/>
          <w:szCs w:val="24"/>
        </w:rPr>
        <w:t xml:space="preserve">debió dejarse la responsabilidad al Sujeto Obligado, para que </w:t>
      </w:r>
      <w:r w:rsidR="0057636B">
        <w:rPr>
          <w:rFonts w:ascii="Palatino Linotype" w:hAnsi="Palatino Linotype" w:cs="Arial"/>
          <w:sz w:val="24"/>
          <w:szCs w:val="24"/>
        </w:rPr>
        <w:t xml:space="preserve">fuese el quien </w:t>
      </w:r>
      <w:r>
        <w:rPr>
          <w:rFonts w:ascii="Palatino Linotype" w:hAnsi="Palatino Linotype" w:cs="Arial"/>
          <w:sz w:val="24"/>
          <w:szCs w:val="24"/>
        </w:rPr>
        <w:t>analizara si la información debía ser clasificada o no.</w:t>
      </w:r>
    </w:p>
    <w:p w:rsidR="00FE083B" w:rsidRPr="00FE083B" w:rsidRDefault="00FE083B" w:rsidP="00FE083B">
      <w:pPr>
        <w:pStyle w:val="Prrafodelista"/>
        <w:rPr>
          <w:rFonts w:ascii="Palatino Linotype" w:hAnsi="Palatino Linotype" w:cs="Arial"/>
          <w:sz w:val="24"/>
          <w:szCs w:val="24"/>
        </w:rPr>
      </w:pPr>
    </w:p>
    <w:p w:rsidR="003246CE" w:rsidRPr="00877AE6" w:rsidRDefault="00877AE6" w:rsidP="00877AE6">
      <w:pPr>
        <w:pStyle w:val="Prrafodelista"/>
        <w:numPr>
          <w:ilvl w:val="0"/>
          <w:numId w:val="2"/>
        </w:numPr>
        <w:spacing w:line="360" w:lineRule="auto"/>
        <w:jc w:val="both"/>
        <w:rPr>
          <w:rFonts w:ascii="Palatino Linotype" w:hAnsi="Palatino Linotype" w:cs="Arial"/>
          <w:sz w:val="24"/>
          <w:szCs w:val="24"/>
        </w:rPr>
      </w:pPr>
      <w:r w:rsidRPr="00877AE6">
        <w:rPr>
          <w:rFonts w:ascii="Palatino Linotype" w:hAnsi="Palatino Linotype" w:cs="Arial"/>
          <w:sz w:val="24"/>
          <w:szCs w:val="24"/>
        </w:rPr>
        <w:t xml:space="preserve">Una vez expuesto lo anterior, concluyo mi voto </w:t>
      </w:r>
      <w:r w:rsidR="0057636B">
        <w:rPr>
          <w:rFonts w:ascii="Palatino Linotype" w:hAnsi="Palatino Linotype" w:cs="Arial"/>
          <w:sz w:val="24"/>
          <w:szCs w:val="24"/>
        </w:rPr>
        <w:t>particular</w:t>
      </w:r>
      <w:r w:rsidRPr="00877AE6">
        <w:rPr>
          <w:rFonts w:ascii="Palatino Linotype" w:hAnsi="Palatino Linotype" w:cs="Arial"/>
          <w:sz w:val="24"/>
          <w:szCs w:val="24"/>
        </w:rPr>
        <w:t xml:space="preserve"> en la resolución materia del mismo.</w:t>
      </w:r>
    </w:p>
    <w:p w:rsidR="00466F45" w:rsidRPr="00877AE6" w:rsidRDefault="00466F45" w:rsidP="003246CE">
      <w:pPr>
        <w:pStyle w:val="Prrafodelista"/>
        <w:spacing w:after="0" w:line="360" w:lineRule="auto"/>
        <w:ind w:left="360"/>
        <w:jc w:val="both"/>
        <w:rPr>
          <w:rFonts w:ascii="Palatino Linotype" w:eastAsia="Calibri" w:hAnsi="Palatino Linotype" w:cs="Arial"/>
          <w:sz w:val="24"/>
          <w:szCs w:val="24"/>
        </w:rPr>
      </w:pPr>
    </w:p>
    <w:p w:rsidR="000D5AEA" w:rsidRPr="00EC2EC2" w:rsidRDefault="000D5AEA" w:rsidP="000D5AEA">
      <w:pPr>
        <w:spacing w:line="360" w:lineRule="auto"/>
        <w:ind w:left="360"/>
        <w:contextualSpacing/>
        <w:jc w:val="both"/>
        <w:rPr>
          <w:rFonts w:ascii="Palatino Linotype" w:eastAsia="Calibri" w:hAnsi="Palatino Linotype" w:cs="Arial"/>
          <w:color w:val="000000" w:themeColor="text1"/>
          <w:sz w:val="32"/>
          <w:szCs w:val="24"/>
        </w:rPr>
      </w:pPr>
    </w:p>
    <w:p w:rsidR="000D5AEA" w:rsidRPr="00EC2EC2" w:rsidRDefault="000D5AEA" w:rsidP="000D5AEA">
      <w:pPr>
        <w:spacing w:line="360" w:lineRule="auto"/>
        <w:jc w:val="center"/>
        <w:rPr>
          <w:rFonts w:ascii="Palatino Linotype" w:eastAsia="Calibri" w:hAnsi="Palatino Linotype" w:cs="Arial"/>
          <w:b/>
          <w:color w:val="000000" w:themeColor="text1"/>
          <w:sz w:val="24"/>
          <w:szCs w:val="24"/>
        </w:rPr>
      </w:pPr>
      <w:r w:rsidRPr="00EC2EC2">
        <w:rPr>
          <w:rFonts w:ascii="Palatino Linotype" w:eastAsia="Calibri" w:hAnsi="Palatino Linotype" w:cs="Arial"/>
          <w:b/>
          <w:color w:val="000000" w:themeColor="text1"/>
          <w:sz w:val="24"/>
          <w:szCs w:val="24"/>
        </w:rPr>
        <w:t>JOSÉ GUADALUPE LUNA HERNÁNDEZ</w:t>
      </w:r>
    </w:p>
    <w:p w:rsidR="000D5AEA" w:rsidRPr="00EC2EC2" w:rsidRDefault="000D5AEA" w:rsidP="000D5AEA">
      <w:pPr>
        <w:jc w:val="center"/>
        <w:rPr>
          <w:rFonts w:ascii="Palatino Linotype" w:eastAsia="Calibri" w:hAnsi="Palatino Linotype" w:cs="Arial"/>
          <w:b/>
          <w:color w:val="000000" w:themeColor="text1"/>
          <w:sz w:val="24"/>
          <w:szCs w:val="24"/>
        </w:rPr>
      </w:pPr>
      <w:r w:rsidRPr="00EC2EC2">
        <w:rPr>
          <w:rFonts w:ascii="Palatino Linotype" w:eastAsia="Calibri" w:hAnsi="Palatino Linotype" w:cs="Arial"/>
          <w:b/>
          <w:color w:val="000000" w:themeColor="text1"/>
          <w:sz w:val="24"/>
          <w:szCs w:val="24"/>
        </w:rPr>
        <w:t>COMISIONADO</w:t>
      </w:r>
    </w:p>
    <w:p w:rsidR="00A640C7" w:rsidRPr="00EC2EC2" w:rsidRDefault="00A93DB3" w:rsidP="000D5AEA">
      <w:pPr>
        <w:jc w:val="center"/>
        <w:rPr>
          <w:rFonts w:ascii="Palatino Linotype" w:eastAsia="Calibri" w:hAnsi="Palatino Linotype" w:cs="Times New Roman"/>
          <w:color w:val="000000" w:themeColor="text1"/>
          <w:sz w:val="24"/>
          <w:szCs w:val="24"/>
        </w:rPr>
      </w:pPr>
      <w:r w:rsidRPr="00EC2EC2">
        <w:rPr>
          <w:rFonts w:ascii="Palatino Linotype" w:eastAsia="Calibri" w:hAnsi="Palatino Linotype" w:cs="Arial"/>
          <w:b/>
          <w:color w:val="000000" w:themeColor="text1"/>
          <w:sz w:val="24"/>
          <w:szCs w:val="24"/>
        </w:rPr>
        <w:t>(RÚBRICA)</w:t>
      </w:r>
    </w:p>
    <w:sectPr w:rsidR="00A640C7" w:rsidRPr="00EC2EC2" w:rsidSect="00BB488C">
      <w:headerReference w:type="even" r:id="rId8"/>
      <w:headerReference w:type="default" r:id="rId9"/>
      <w:footerReference w:type="default" r:id="rId10"/>
      <w:headerReference w:type="first" r:id="rId11"/>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0F04" w:rsidRDefault="006E0F04" w:rsidP="00E82D3D">
      <w:pPr>
        <w:spacing w:after="0" w:line="240" w:lineRule="auto"/>
      </w:pPr>
      <w:r>
        <w:separator/>
      </w:r>
    </w:p>
  </w:endnote>
  <w:endnote w:type="continuationSeparator" w:id="0">
    <w:p w:rsidR="006E0F04" w:rsidRDefault="006E0F04" w:rsidP="00E8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0F1AD8" w:rsidRDefault="000F1AD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390953">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390953">
              <w:rPr>
                <w:b/>
                <w:bCs/>
                <w:noProof/>
              </w:rPr>
              <w:t>12</w:t>
            </w:r>
            <w:r>
              <w:rPr>
                <w:b/>
                <w:bCs/>
                <w:sz w:val="24"/>
                <w:szCs w:val="24"/>
              </w:rPr>
              <w:fldChar w:fldCharType="end"/>
            </w:r>
          </w:p>
        </w:sdtContent>
      </w:sdt>
    </w:sdtContent>
  </w:sdt>
  <w:p w:rsidR="000F1AD8" w:rsidRDefault="000F1AD8" w:rsidP="00BB488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0F04" w:rsidRDefault="006E0F04" w:rsidP="00E82D3D">
      <w:pPr>
        <w:spacing w:after="0" w:line="240" w:lineRule="auto"/>
      </w:pPr>
      <w:r>
        <w:separator/>
      </w:r>
    </w:p>
  </w:footnote>
  <w:footnote w:type="continuationSeparator" w:id="0">
    <w:p w:rsidR="006E0F04" w:rsidRDefault="006E0F04" w:rsidP="00E82D3D">
      <w:pPr>
        <w:spacing w:after="0" w:line="240" w:lineRule="auto"/>
      </w:pPr>
      <w:r>
        <w:continuationSeparator/>
      </w:r>
    </w:p>
  </w:footnote>
  <w:footnote w:id="1">
    <w:p w:rsidR="00877AE6" w:rsidRDefault="00877AE6" w:rsidP="00877AE6">
      <w:pPr>
        <w:pStyle w:val="Textonotapie"/>
        <w:jc w:val="both"/>
      </w:pPr>
      <w:r>
        <w:rPr>
          <w:rStyle w:val="Refdenotaalpie"/>
        </w:rPr>
        <w:footnoteRef/>
      </w:r>
      <w:r>
        <w:t xml:space="preserve"> CARBONELL, MIGUEL. “Las obligaciones del Estado en el artículo 1º. de la Constitución mexicana” en CARBONELL, Miguel y SALAZAR, Pedro, coords. La reforma constitucional de derechos humanos. 2ª. Edición, México. Coed. Porrúa e Instituto de Investigaciones Jurídicas de la UNAM, 2012. Pág. 68.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AD8" w:rsidRDefault="00390953">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AD8" w:rsidRDefault="00390953">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0;margin-top:0;width:557.4pt;height:65.55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0F1AD8" w:rsidRDefault="000F1AD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AD8" w:rsidRDefault="00390953">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516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7367B"/>
    <w:multiLevelType w:val="hybridMultilevel"/>
    <w:tmpl w:val="41ACC94C"/>
    <w:lvl w:ilvl="0" w:tplc="DC6CA382">
      <w:start w:val="4"/>
      <w:numFmt w:val="upperRoman"/>
      <w:lvlText w:val="%1."/>
      <w:lvlJc w:val="right"/>
      <w:pPr>
        <w:ind w:left="720" w:hanging="360"/>
      </w:pPr>
      <w:rPr>
        <w:rFonts w:hint="default"/>
        <w:sz w:val="24"/>
        <w:szCs w:val="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nsid w:val="0F097840"/>
    <w:multiLevelType w:val="hybridMultilevel"/>
    <w:tmpl w:val="1B56FAFE"/>
    <w:lvl w:ilvl="0" w:tplc="65EA42B2">
      <w:start w:val="5"/>
      <w:numFmt w:val="upperRoman"/>
      <w:lvlText w:val="%1."/>
      <w:lvlJc w:val="left"/>
      <w:pPr>
        <w:ind w:left="1080" w:hanging="720"/>
      </w:pPr>
      <w:rPr>
        <w:rFonts w:ascii="Palatino Linotype" w:eastAsiaTheme="majorEastAsia" w:hAnsi="Palatino Linotype" w:cstheme="majorBidi" w:hint="default"/>
        <w:b/>
        <w:color w:val="auto"/>
        <w:sz w:val="24"/>
        <w:szCs w:val="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nsid w:val="107870FC"/>
    <w:multiLevelType w:val="hybridMultilevel"/>
    <w:tmpl w:val="C7965C4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347461A"/>
    <w:multiLevelType w:val="hybridMultilevel"/>
    <w:tmpl w:val="321A5CDC"/>
    <w:lvl w:ilvl="0" w:tplc="730A9F78">
      <w:start w:val="4"/>
      <w:numFmt w:val="upperRoman"/>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5">
    <w:nsid w:val="176250DB"/>
    <w:multiLevelType w:val="hybridMultilevel"/>
    <w:tmpl w:val="484E3100"/>
    <w:lvl w:ilvl="0" w:tplc="24DECF3E">
      <w:start w:val="7"/>
      <w:numFmt w:val="upperRoman"/>
      <w:lvlText w:val="%1."/>
      <w:lvlJc w:val="left"/>
      <w:pPr>
        <w:ind w:left="72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nsid w:val="176B1660"/>
    <w:multiLevelType w:val="hybridMultilevel"/>
    <w:tmpl w:val="2FDC659E"/>
    <w:lvl w:ilvl="0" w:tplc="A2E0D7C0">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8E37899"/>
    <w:multiLevelType w:val="hybridMultilevel"/>
    <w:tmpl w:val="D4323CD8"/>
    <w:lvl w:ilvl="0" w:tplc="6B44A0F4">
      <w:start w:val="4"/>
      <w:numFmt w:val="upperRoman"/>
      <w:lvlText w:val="%1."/>
      <w:lvlJc w:val="left"/>
      <w:pPr>
        <w:ind w:left="720" w:hanging="720"/>
      </w:pPr>
      <w:rPr>
        <w:rFonts w:ascii="Palatino Linotype" w:eastAsiaTheme="majorEastAsia" w:hAnsi="Palatino Linotype" w:cstheme="majorBidi" w:hint="default"/>
        <w:b/>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9BA2F11"/>
    <w:multiLevelType w:val="hybridMultilevel"/>
    <w:tmpl w:val="B27E018C"/>
    <w:lvl w:ilvl="0" w:tplc="6B609CCE">
      <w:start w:val="3"/>
      <w:numFmt w:val="upperRoman"/>
      <w:lvlText w:val="%1."/>
      <w:lvlJc w:val="righ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61371B5"/>
    <w:multiLevelType w:val="hybridMultilevel"/>
    <w:tmpl w:val="FC7A905E"/>
    <w:lvl w:ilvl="0" w:tplc="7720A174">
      <w:start w:val="26"/>
      <w:numFmt w:val="decimal"/>
      <w:lvlText w:val="%1."/>
      <w:lvlJc w:val="left"/>
      <w:pPr>
        <w:ind w:left="927"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A484B87"/>
    <w:multiLevelType w:val="hybridMultilevel"/>
    <w:tmpl w:val="76923F2E"/>
    <w:lvl w:ilvl="0" w:tplc="4B8A633C">
      <w:start w:val="66"/>
      <w:numFmt w:val="decimal"/>
      <w:lvlText w:val="%1."/>
      <w:lvlJc w:val="left"/>
      <w:pPr>
        <w:ind w:left="1428"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A750AC4"/>
    <w:multiLevelType w:val="hybridMultilevel"/>
    <w:tmpl w:val="9C84E8EC"/>
    <w:lvl w:ilvl="0" w:tplc="B900E44A">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3">
    <w:nsid w:val="2C365F88"/>
    <w:multiLevelType w:val="hybridMultilevel"/>
    <w:tmpl w:val="89CA7E78"/>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312D38DF"/>
    <w:multiLevelType w:val="hybridMultilevel"/>
    <w:tmpl w:val="082CF316"/>
    <w:lvl w:ilvl="0" w:tplc="ED78C648">
      <w:start w:val="65"/>
      <w:numFmt w:val="decimal"/>
      <w:lvlText w:val="%1."/>
      <w:lvlJc w:val="left"/>
      <w:pPr>
        <w:ind w:left="1428"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7CD5F4C"/>
    <w:multiLevelType w:val="hybridMultilevel"/>
    <w:tmpl w:val="6AF2510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3BFD279B"/>
    <w:multiLevelType w:val="hybridMultilevel"/>
    <w:tmpl w:val="525AD46E"/>
    <w:lvl w:ilvl="0" w:tplc="1666AEF4">
      <w:start w:val="77"/>
      <w:numFmt w:val="decimal"/>
      <w:lvlText w:val="%1."/>
      <w:lvlJc w:val="left"/>
      <w:pPr>
        <w:ind w:left="1068"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F765C2B"/>
    <w:multiLevelType w:val="hybridMultilevel"/>
    <w:tmpl w:val="706654C6"/>
    <w:lvl w:ilvl="0" w:tplc="2F98288A">
      <w:start w:val="5"/>
      <w:numFmt w:val="upperRoman"/>
      <w:lvlText w:val="%1."/>
      <w:lvlJc w:val="left"/>
      <w:pPr>
        <w:ind w:left="72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nsid w:val="3FBE193E"/>
    <w:multiLevelType w:val="hybridMultilevel"/>
    <w:tmpl w:val="5920940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17C6B62"/>
    <w:multiLevelType w:val="hybridMultilevel"/>
    <w:tmpl w:val="F7D2C972"/>
    <w:lvl w:ilvl="0" w:tplc="AF78355C">
      <w:start w:val="6"/>
      <w:numFmt w:val="decimal"/>
      <w:lvlText w:val="%1."/>
      <w:lvlJc w:val="left"/>
      <w:pPr>
        <w:ind w:left="360" w:hanging="360"/>
      </w:pPr>
      <w:rPr>
        <w:rFonts w:eastAsia="Times New Roman"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31D6F24"/>
    <w:multiLevelType w:val="hybridMultilevel"/>
    <w:tmpl w:val="FFDC6926"/>
    <w:lvl w:ilvl="0" w:tplc="439075FA">
      <w:start w:val="43"/>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71661F8"/>
    <w:multiLevelType w:val="hybridMultilevel"/>
    <w:tmpl w:val="87F424B2"/>
    <w:lvl w:ilvl="0" w:tplc="228CA8A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F8D29D4"/>
    <w:multiLevelType w:val="hybridMultilevel"/>
    <w:tmpl w:val="EBAA6EAC"/>
    <w:lvl w:ilvl="0" w:tplc="CD5E21F2">
      <w:start w:val="72"/>
      <w:numFmt w:val="decimal"/>
      <w:lvlText w:val="%1."/>
      <w:lvlJc w:val="left"/>
      <w:pPr>
        <w:ind w:left="1068"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02142AD"/>
    <w:multiLevelType w:val="hybridMultilevel"/>
    <w:tmpl w:val="2FDC7368"/>
    <w:lvl w:ilvl="0" w:tplc="F252EA7E">
      <w:start w:val="6"/>
      <w:numFmt w:val="upperRoman"/>
      <w:lvlText w:val="%1."/>
      <w:lvlJc w:val="left"/>
      <w:pPr>
        <w:ind w:left="72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nsid w:val="51D6497E"/>
    <w:multiLevelType w:val="hybridMultilevel"/>
    <w:tmpl w:val="82BCF7CA"/>
    <w:lvl w:ilvl="0" w:tplc="55F63ECE">
      <w:start w:val="46"/>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6">
    <w:nsid w:val="54A3498B"/>
    <w:multiLevelType w:val="hybridMultilevel"/>
    <w:tmpl w:val="3B545E18"/>
    <w:lvl w:ilvl="0" w:tplc="23EEA502">
      <w:start w:val="56"/>
      <w:numFmt w:val="decimal"/>
      <w:lvlText w:val="%1."/>
      <w:lvlJc w:val="left"/>
      <w:pPr>
        <w:ind w:left="1068"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77202FA"/>
    <w:multiLevelType w:val="hybridMultilevel"/>
    <w:tmpl w:val="FBEC24F0"/>
    <w:lvl w:ilvl="0" w:tplc="9B2A271E">
      <w:start w:val="1"/>
      <w:numFmt w:val="decimal"/>
      <w:lvlText w:val="%1."/>
      <w:lvlJc w:val="left"/>
      <w:pPr>
        <w:ind w:left="360" w:hanging="360"/>
      </w:pPr>
      <w:rPr>
        <w:rFonts w:ascii="Palatino Linotype" w:eastAsia="Times New Roman" w:hAnsi="Palatino Linotype" w:hint="default"/>
        <w:b/>
        <w:strike w:val="0"/>
        <w:color w:val="0D0D0D" w:themeColor="text1" w:themeTint="F2"/>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90D7DCB"/>
    <w:multiLevelType w:val="hybridMultilevel"/>
    <w:tmpl w:val="4C642158"/>
    <w:lvl w:ilvl="0" w:tplc="7CF0AB3C">
      <w:start w:val="7"/>
      <w:numFmt w:val="upperRoman"/>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B4B1BAE"/>
    <w:multiLevelType w:val="hybridMultilevel"/>
    <w:tmpl w:val="5D064894"/>
    <w:lvl w:ilvl="0" w:tplc="B860BAB4">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5DDD2CB1"/>
    <w:multiLevelType w:val="hybridMultilevel"/>
    <w:tmpl w:val="562AFB06"/>
    <w:lvl w:ilvl="0" w:tplc="080A0013">
      <w:start w:val="1"/>
      <w:numFmt w:val="upperRoman"/>
      <w:lvlText w:val="%1."/>
      <w:lvlJc w:val="right"/>
      <w:pPr>
        <w:ind w:left="795" w:hanging="360"/>
      </w:pPr>
    </w:lvl>
    <w:lvl w:ilvl="1" w:tplc="080A0019" w:tentative="1">
      <w:start w:val="1"/>
      <w:numFmt w:val="lowerLetter"/>
      <w:lvlText w:val="%2."/>
      <w:lvlJc w:val="left"/>
      <w:pPr>
        <w:ind w:left="1515" w:hanging="360"/>
      </w:pPr>
    </w:lvl>
    <w:lvl w:ilvl="2" w:tplc="080A001B" w:tentative="1">
      <w:start w:val="1"/>
      <w:numFmt w:val="lowerRoman"/>
      <w:lvlText w:val="%3."/>
      <w:lvlJc w:val="right"/>
      <w:pPr>
        <w:ind w:left="2235" w:hanging="180"/>
      </w:pPr>
    </w:lvl>
    <w:lvl w:ilvl="3" w:tplc="080A000F" w:tentative="1">
      <w:start w:val="1"/>
      <w:numFmt w:val="decimal"/>
      <w:lvlText w:val="%4."/>
      <w:lvlJc w:val="left"/>
      <w:pPr>
        <w:ind w:left="2955" w:hanging="360"/>
      </w:pPr>
    </w:lvl>
    <w:lvl w:ilvl="4" w:tplc="080A0019" w:tentative="1">
      <w:start w:val="1"/>
      <w:numFmt w:val="lowerLetter"/>
      <w:lvlText w:val="%5."/>
      <w:lvlJc w:val="left"/>
      <w:pPr>
        <w:ind w:left="3675" w:hanging="360"/>
      </w:pPr>
    </w:lvl>
    <w:lvl w:ilvl="5" w:tplc="080A001B" w:tentative="1">
      <w:start w:val="1"/>
      <w:numFmt w:val="lowerRoman"/>
      <w:lvlText w:val="%6."/>
      <w:lvlJc w:val="right"/>
      <w:pPr>
        <w:ind w:left="4395" w:hanging="180"/>
      </w:pPr>
    </w:lvl>
    <w:lvl w:ilvl="6" w:tplc="080A000F" w:tentative="1">
      <w:start w:val="1"/>
      <w:numFmt w:val="decimal"/>
      <w:lvlText w:val="%7."/>
      <w:lvlJc w:val="left"/>
      <w:pPr>
        <w:ind w:left="5115" w:hanging="360"/>
      </w:pPr>
    </w:lvl>
    <w:lvl w:ilvl="7" w:tplc="080A0019" w:tentative="1">
      <w:start w:val="1"/>
      <w:numFmt w:val="lowerLetter"/>
      <w:lvlText w:val="%8."/>
      <w:lvlJc w:val="left"/>
      <w:pPr>
        <w:ind w:left="5835" w:hanging="360"/>
      </w:pPr>
    </w:lvl>
    <w:lvl w:ilvl="8" w:tplc="080A001B" w:tentative="1">
      <w:start w:val="1"/>
      <w:numFmt w:val="lowerRoman"/>
      <w:lvlText w:val="%9."/>
      <w:lvlJc w:val="right"/>
      <w:pPr>
        <w:ind w:left="6555" w:hanging="180"/>
      </w:pPr>
    </w:lvl>
  </w:abstractNum>
  <w:abstractNum w:abstractNumId="31">
    <w:nsid w:val="5E6C2114"/>
    <w:multiLevelType w:val="hybridMultilevel"/>
    <w:tmpl w:val="5652E10C"/>
    <w:lvl w:ilvl="0" w:tplc="040A0017">
      <w:start w:val="1"/>
      <w:numFmt w:val="lowerLetter"/>
      <w:lvlText w:val="%1)"/>
      <w:lvlJc w:val="left"/>
      <w:pPr>
        <w:ind w:left="1428" w:hanging="360"/>
      </w:pPr>
      <w:rPr>
        <w:rFonts w:hint="default"/>
      </w:r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abstractNum w:abstractNumId="32">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3">
    <w:nsid w:val="689C7208"/>
    <w:multiLevelType w:val="hybridMultilevel"/>
    <w:tmpl w:val="038EDE5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4">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5">
    <w:nsid w:val="6E7976DF"/>
    <w:multiLevelType w:val="hybridMultilevel"/>
    <w:tmpl w:val="1EBC6AC8"/>
    <w:lvl w:ilvl="0" w:tplc="7F38EEE8">
      <w:start w:val="52"/>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33C1AB8"/>
    <w:multiLevelType w:val="hybridMultilevel"/>
    <w:tmpl w:val="9614ECC8"/>
    <w:lvl w:ilvl="0" w:tplc="F2D8E9C6">
      <w:start w:val="27"/>
      <w:numFmt w:val="decimal"/>
      <w:lvlText w:val="%1."/>
      <w:lvlJc w:val="left"/>
      <w:pPr>
        <w:ind w:left="360" w:hanging="360"/>
      </w:pPr>
      <w:rPr>
        <w:rFonts w:ascii="Palatino Linotype" w:eastAsia="Times New Roman" w:hAnsi="Palatino Linotype" w:hint="default"/>
        <w:b/>
        <w:strike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8A40145"/>
    <w:multiLevelType w:val="hybridMultilevel"/>
    <w:tmpl w:val="A914E30C"/>
    <w:lvl w:ilvl="0" w:tplc="1460E8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92B42BB"/>
    <w:multiLevelType w:val="hybridMultilevel"/>
    <w:tmpl w:val="29C6D890"/>
    <w:lvl w:ilvl="0" w:tplc="294A887A">
      <w:start w:val="1"/>
      <w:numFmt w:val="lowerLetter"/>
      <w:lvlText w:val="%1)"/>
      <w:lvlJc w:val="left"/>
      <w:pPr>
        <w:ind w:left="720" w:hanging="360"/>
      </w:pPr>
      <w:rPr>
        <w:rFonts w:eastAsia="MS Mincho" w:cs="Times New Roman"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9795EEB"/>
    <w:multiLevelType w:val="hybridMultilevel"/>
    <w:tmpl w:val="EAFC6354"/>
    <w:lvl w:ilvl="0" w:tplc="FAA8B6DC">
      <w:start w:val="1"/>
      <w:numFmt w:val="ordinalText"/>
      <w:lvlText w:val="%1."/>
      <w:lvlJc w:val="left"/>
      <w:pPr>
        <w:ind w:left="502"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DF32FC3"/>
    <w:multiLevelType w:val="hybridMultilevel"/>
    <w:tmpl w:val="0204C632"/>
    <w:lvl w:ilvl="0" w:tplc="40E4F992">
      <w:start w:val="53"/>
      <w:numFmt w:val="decimal"/>
      <w:lvlText w:val="%1."/>
      <w:lvlJc w:val="left"/>
      <w:pPr>
        <w:ind w:left="1068"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E3B6589"/>
    <w:multiLevelType w:val="hybridMultilevel"/>
    <w:tmpl w:val="0FBE5B0C"/>
    <w:lvl w:ilvl="0" w:tplc="344009A2">
      <w:start w:val="4"/>
      <w:numFmt w:val="upperRoman"/>
      <w:lvlText w:val="%1."/>
      <w:lvlJc w:val="left"/>
      <w:pPr>
        <w:ind w:left="72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21"/>
  </w:num>
  <w:num w:numId="2">
    <w:abstractNumId w:val="27"/>
  </w:num>
  <w:num w:numId="3">
    <w:abstractNumId w:val="29"/>
  </w:num>
  <w:num w:numId="4">
    <w:abstractNumId w:val="34"/>
  </w:num>
  <w:num w:numId="5">
    <w:abstractNumId w:val="31"/>
  </w:num>
  <w:num w:numId="6">
    <w:abstractNumId w:val="32"/>
  </w:num>
  <w:num w:numId="7">
    <w:abstractNumId w:val="25"/>
  </w:num>
  <w:num w:numId="8">
    <w:abstractNumId w:val="4"/>
  </w:num>
  <w:num w:numId="9">
    <w:abstractNumId w:val="0"/>
  </w:num>
  <w:num w:numId="10">
    <w:abstractNumId w:val="17"/>
  </w:num>
  <w:num w:numId="11">
    <w:abstractNumId w:val="23"/>
  </w:num>
  <w:num w:numId="12">
    <w:abstractNumId w:val="5"/>
  </w:num>
  <w:num w:numId="13">
    <w:abstractNumId w:val="28"/>
  </w:num>
  <w:num w:numId="14">
    <w:abstractNumId w:val="41"/>
  </w:num>
  <w:num w:numId="15">
    <w:abstractNumId w:val="1"/>
  </w:num>
  <w:num w:numId="16">
    <w:abstractNumId w:val="9"/>
  </w:num>
  <w:num w:numId="17">
    <w:abstractNumId w:val="36"/>
  </w:num>
  <w:num w:numId="18">
    <w:abstractNumId w:val="20"/>
  </w:num>
  <w:num w:numId="19">
    <w:abstractNumId w:val="24"/>
  </w:num>
  <w:num w:numId="20">
    <w:abstractNumId w:val="35"/>
  </w:num>
  <w:num w:numId="21">
    <w:abstractNumId w:val="40"/>
  </w:num>
  <w:num w:numId="22">
    <w:abstractNumId w:val="26"/>
  </w:num>
  <w:num w:numId="23">
    <w:abstractNumId w:val="14"/>
  </w:num>
  <w:num w:numId="24">
    <w:abstractNumId w:val="11"/>
  </w:num>
  <w:num w:numId="25">
    <w:abstractNumId w:val="22"/>
  </w:num>
  <w:num w:numId="26">
    <w:abstractNumId w:val="16"/>
  </w:num>
  <w:num w:numId="27">
    <w:abstractNumId w:val="10"/>
  </w:num>
  <w:num w:numId="28">
    <w:abstractNumId w:val="7"/>
  </w:num>
  <w:num w:numId="29">
    <w:abstractNumId w:val="6"/>
  </w:num>
  <w:num w:numId="30">
    <w:abstractNumId w:val="3"/>
  </w:num>
  <w:num w:numId="31">
    <w:abstractNumId w:val="18"/>
  </w:num>
  <w:num w:numId="32">
    <w:abstractNumId w:val="2"/>
  </w:num>
  <w:num w:numId="33">
    <w:abstractNumId w:val="13"/>
  </w:num>
  <w:num w:numId="34">
    <w:abstractNumId w:val="39"/>
  </w:num>
  <w:num w:numId="35">
    <w:abstractNumId w:val="37"/>
  </w:num>
  <w:num w:numId="36">
    <w:abstractNumId w:val="19"/>
  </w:num>
  <w:num w:numId="37">
    <w:abstractNumId w:val="30"/>
  </w:num>
  <w:num w:numId="38">
    <w:abstractNumId w:val="8"/>
  </w:num>
  <w:num w:numId="39">
    <w:abstractNumId w:val="12"/>
  </w:num>
  <w:num w:numId="40">
    <w:abstractNumId w:val="33"/>
  </w:num>
  <w:num w:numId="41">
    <w:abstractNumId w:val="15"/>
  </w:num>
  <w:num w:numId="42">
    <w:abstractNumId w:val="3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3D"/>
    <w:rsid w:val="00002D40"/>
    <w:rsid w:val="000137B8"/>
    <w:rsid w:val="000143E4"/>
    <w:rsid w:val="00014859"/>
    <w:rsid w:val="00022833"/>
    <w:rsid w:val="00032D26"/>
    <w:rsid w:val="00056DE9"/>
    <w:rsid w:val="00073647"/>
    <w:rsid w:val="00080D75"/>
    <w:rsid w:val="00096CC2"/>
    <w:rsid w:val="000B2BC8"/>
    <w:rsid w:val="000C6443"/>
    <w:rsid w:val="000D5AEA"/>
    <w:rsid w:val="000F1AD8"/>
    <w:rsid w:val="00102360"/>
    <w:rsid w:val="00102A9E"/>
    <w:rsid w:val="001134A2"/>
    <w:rsid w:val="001240A5"/>
    <w:rsid w:val="0014534B"/>
    <w:rsid w:val="00146C7D"/>
    <w:rsid w:val="001744A9"/>
    <w:rsid w:val="001759E6"/>
    <w:rsid w:val="00187610"/>
    <w:rsid w:val="001B19B4"/>
    <w:rsid w:val="001B2A38"/>
    <w:rsid w:val="001D51C6"/>
    <w:rsid w:val="001E4EBD"/>
    <w:rsid w:val="001E7FE3"/>
    <w:rsid w:val="00245FAB"/>
    <w:rsid w:val="0027188D"/>
    <w:rsid w:val="002E3ED2"/>
    <w:rsid w:val="002F79FF"/>
    <w:rsid w:val="00315A31"/>
    <w:rsid w:val="003246CE"/>
    <w:rsid w:val="003258B6"/>
    <w:rsid w:val="00334204"/>
    <w:rsid w:val="00343BFF"/>
    <w:rsid w:val="00362134"/>
    <w:rsid w:val="00376456"/>
    <w:rsid w:val="00384DBA"/>
    <w:rsid w:val="00390953"/>
    <w:rsid w:val="00391ECE"/>
    <w:rsid w:val="003B64F7"/>
    <w:rsid w:val="003D1DF8"/>
    <w:rsid w:val="004137A7"/>
    <w:rsid w:val="004505EE"/>
    <w:rsid w:val="00466F45"/>
    <w:rsid w:val="00474F5A"/>
    <w:rsid w:val="0048628E"/>
    <w:rsid w:val="004B0239"/>
    <w:rsid w:val="004E1262"/>
    <w:rsid w:val="004F15BB"/>
    <w:rsid w:val="005556CA"/>
    <w:rsid w:val="00573FEE"/>
    <w:rsid w:val="0057636B"/>
    <w:rsid w:val="00581E2F"/>
    <w:rsid w:val="00586D5D"/>
    <w:rsid w:val="005C544A"/>
    <w:rsid w:val="005E38D6"/>
    <w:rsid w:val="005F30BC"/>
    <w:rsid w:val="00617ACF"/>
    <w:rsid w:val="006257F0"/>
    <w:rsid w:val="00630412"/>
    <w:rsid w:val="00630750"/>
    <w:rsid w:val="006577B9"/>
    <w:rsid w:val="00687050"/>
    <w:rsid w:val="006E0F04"/>
    <w:rsid w:val="006F0A01"/>
    <w:rsid w:val="006F7748"/>
    <w:rsid w:val="00707317"/>
    <w:rsid w:val="00733E65"/>
    <w:rsid w:val="00764DF7"/>
    <w:rsid w:val="0079319A"/>
    <w:rsid w:val="00797A31"/>
    <w:rsid w:val="007A5C1B"/>
    <w:rsid w:val="007D037D"/>
    <w:rsid w:val="007F564A"/>
    <w:rsid w:val="008039E7"/>
    <w:rsid w:val="00807E40"/>
    <w:rsid w:val="0081508B"/>
    <w:rsid w:val="00877AE6"/>
    <w:rsid w:val="008C2121"/>
    <w:rsid w:val="008F7805"/>
    <w:rsid w:val="00902FFF"/>
    <w:rsid w:val="00905472"/>
    <w:rsid w:val="009109B4"/>
    <w:rsid w:val="0098322D"/>
    <w:rsid w:val="009A2D39"/>
    <w:rsid w:val="009C382C"/>
    <w:rsid w:val="009D7DC0"/>
    <w:rsid w:val="00A0789D"/>
    <w:rsid w:val="00A112DF"/>
    <w:rsid w:val="00A13BDF"/>
    <w:rsid w:val="00A61EE4"/>
    <w:rsid w:val="00A640C7"/>
    <w:rsid w:val="00A7073D"/>
    <w:rsid w:val="00A766F3"/>
    <w:rsid w:val="00A93DB3"/>
    <w:rsid w:val="00B16632"/>
    <w:rsid w:val="00B31280"/>
    <w:rsid w:val="00B418D3"/>
    <w:rsid w:val="00B44BEB"/>
    <w:rsid w:val="00B46FD7"/>
    <w:rsid w:val="00B5044C"/>
    <w:rsid w:val="00B9285A"/>
    <w:rsid w:val="00BB488C"/>
    <w:rsid w:val="00C06F53"/>
    <w:rsid w:val="00C20346"/>
    <w:rsid w:val="00C3434E"/>
    <w:rsid w:val="00C71CD0"/>
    <w:rsid w:val="00C743FE"/>
    <w:rsid w:val="00C753D8"/>
    <w:rsid w:val="00CA2B8E"/>
    <w:rsid w:val="00CB73E4"/>
    <w:rsid w:val="00CC7CC1"/>
    <w:rsid w:val="00CF0462"/>
    <w:rsid w:val="00CF69A6"/>
    <w:rsid w:val="00D214EE"/>
    <w:rsid w:val="00D7079B"/>
    <w:rsid w:val="00D70E0E"/>
    <w:rsid w:val="00D968F7"/>
    <w:rsid w:val="00DD14BB"/>
    <w:rsid w:val="00DE7A32"/>
    <w:rsid w:val="00E06302"/>
    <w:rsid w:val="00E20DC1"/>
    <w:rsid w:val="00E220D0"/>
    <w:rsid w:val="00E235A7"/>
    <w:rsid w:val="00E32640"/>
    <w:rsid w:val="00E37324"/>
    <w:rsid w:val="00E452DC"/>
    <w:rsid w:val="00E469EB"/>
    <w:rsid w:val="00E57622"/>
    <w:rsid w:val="00E82D3D"/>
    <w:rsid w:val="00EA1463"/>
    <w:rsid w:val="00EB7577"/>
    <w:rsid w:val="00EC2EC2"/>
    <w:rsid w:val="00EF1A34"/>
    <w:rsid w:val="00F01325"/>
    <w:rsid w:val="00F1435E"/>
    <w:rsid w:val="00F16AB7"/>
    <w:rsid w:val="00F30EE8"/>
    <w:rsid w:val="00F354D8"/>
    <w:rsid w:val="00F60D79"/>
    <w:rsid w:val="00F82E38"/>
    <w:rsid w:val="00FA2027"/>
    <w:rsid w:val="00FB2286"/>
    <w:rsid w:val="00FB7111"/>
    <w:rsid w:val="00FC605B"/>
    <w:rsid w:val="00FE083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FE2A249-A106-482D-AF60-ED48C88A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5AEA"/>
  </w:style>
  <w:style w:type="paragraph" w:styleId="Ttulo1">
    <w:name w:val="heading 1"/>
    <w:basedOn w:val="Normal"/>
    <w:next w:val="Normal"/>
    <w:link w:val="Ttulo1Car"/>
    <w:uiPriority w:val="9"/>
    <w:qFormat/>
    <w:rsid w:val="00DE7A3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E82D3D"/>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82D3D"/>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E82D3D"/>
    <w:rPr>
      <w:vertAlign w:val="superscript"/>
    </w:rPr>
  </w:style>
  <w:style w:type="paragraph" w:styleId="Piedepgina">
    <w:name w:val="footer"/>
    <w:basedOn w:val="Normal"/>
    <w:link w:val="PiedepginaCar"/>
    <w:uiPriority w:val="99"/>
    <w:unhideWhenUsed/>
    <w:rsid w:val="00E82D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D3D"/>
  </w:style>
  <w:style w:type="paragraph" w:styleId="Encabezado">
    <w:name w:val="header"/>
    <w:basedOn w:val="Normal"/>
    <w:link w:val="EncabezadoCar"/>
    <w:uiPriority w:val="99"/>
    <w:unhideWhenUsed/>
    <w:rsid w:val="00E82D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D3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1"/>
    <w:qFormat/>
    <w:rsid w:val="009A2D39"/>
    <w:pPr>
      <w:ind w:left="720"/>
      <w:contextualSpacing/>
    </w:pPr>
  </w:style>
  <w:style w:type="paragraph" w:styleId="Textodeglobo">
    <w:name w:val="Balloon Text"/>
    <w:basedOn w:val="Normal"/>
    <w:link w:val="TextodegloboCar"/>
    <w:uiPriority w:val="99"/>
    <w:semiHidden/>
    <w:unhideWhenUsed/>
    <w:rsid w:val="001B19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9B4"/>
    <w:rPr>
      <w:rFonts w:ascii="Segoe UI" w:hAnsi="Segoe UI" w:cs="Segoe UI"/>
      <w:sz w:val="18"/>
      <w:szCs w:val="18"/>
    </w:rPr>
  </w:style>
  <w:style w:type="character" w:customStyle="1" w:styleId="Ttulo1Car">
    <w:name w:val="Título 1 Car"/>
    <w:basedOn w:val="Fuentedeprrafopredeter"/>
    <w:link w:val="Ttulo1"/>
    <w:uiPriority w:val="9"/>
    <w:rsid w:val="00DE7A32"/>
    <w:rPr>
      <w:rFonts w:asciiTheme="majorHAnsi" w:eastAsiaTheme="majorEastAsia" w:hAnsiTheme="majorHAnsi" w:cstheme="majorBidi"/>
      <w:color w:val="2E74B5" w:themeColor="accent1" w:themeShade="BF"/>
      <w:sz w:val="32"/>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DE7A32"/>
  </w:style>
  <w:style w:type="paragraph" w:styleId="Sinespaciado">
    <w:name w:val="No Spacing"/>
    <w:aliases w:val="Francesa"/>
    <w:link w:val="SinespaciadoCar"/>
    <w:uiPriority w:val="1"/>
    <w:qFormat/>
    <w:rsid w:val="00DE7A32"/>
    <w:pPr>
      <w:spacing w:after="0" w:line="240" w:lineRule="auto"/>
    </w:pPr>
  </w:style>
  <w:style w:type="paragraph" w:styleId="TtulodeTDC">
    <w:name w:val="TOC Heading"/>
    <w:basedOn w:val="Ttulo1"/>
    <w:next w:val="Normal"/>
    <w:uiPriority w:val="39"/>
    <w:unhideWhenUsed/>
    <w:qFormat/>
    <w:rsid w:val="00DE7A32"/>
    <w:pPr>
      <w:outlineLvl w:val="9"/>
    </w:pPr>
    <w:rPr>
      <w:lang w:eastAsia="es-MX"/>
    </w:rPr>
  </w:style>
  <w:style w:type="paragraph" w:styleId="TDC1">
    <w:name w:val="toc 1"/>
    <w:basedOn w:val="Normal"/>
    <w:next w:val="Normal"/>
    <w:autoRedefine/>
    <w:uiPriority w:val="39"/>
    <w:unhideWhenUsed/>
    <w:rsid w:val="00E20DC1"/>
    <w:pPr>
      <w:tabs>
        <w:tab w:val="left" w:pos="660"/>
        <w:tab w:val="right" w:leader="dot" w:pos="8828"/>
      </w:tabs>
      <w:spacing w:after="100"/>
      <w:ind w:left="709" w:hanging="709"/>
    </w:pPr>
  </w:style>
  <w:style w:type="character" w:styleId="Hipervnculo">
    <w:name w:val="Hyperlink"/>
    <w:basedOn w:val="Fuentedeprrafopredeter"/>
    <w:uiPriority w:val="99"/>
    <w:unhideWhenUsed/>
    <w:rsid w:val="00DE7A32"/>
    <w:rPr>
      <w:color w:val="0563C1" w:themeColor="hyperlink"/>
      <w:u w:val="single"/>
    </w:rPr>
  </w:style>
  <w:style w:type="character" w:customStyle="1" w:styleId="SinespaciadoCar">
    <w:name w:val="Sin espaciado Car"/>
    <w:aliases w:val="Francesa Car"/>
    <w:link w:val="Sinespaciado"/>
    <w:uiPriority w:val="1"/>
    <w:locked/>
    <w:rsid w:val="00DE7A32"/>
  </w:style>
  <w:style w:type="paragraph" w:styleId="TDC2">
    <w:name w:val="toc 2"/>
    <w:basedOn w:val="Normal"/>
    <w:next w:val="Normal"/>
    <w:autoRedefine/>
    <w:uiPriority w:val="39"/>
    <w:unhideWhenUsed/>
    <w:rsid w:val="009C382C"/>
    <w:pPr>
      <w:spacing w:after="100"/>
      <w:ind w:left="220"/>
    </w:pPr>
  </w:style>
  <w:style w:type="paragraph" w:styleId="TDC3">
    <w:name w:val="toc 3"/>
    <w:basedOn w:val="Normal"/>
    <w:next w:val="Normal"/>
    <w:autoRedefine/>
    <w:uiPriority w:val="39"/>
    <w:unhideWhenUsed/>
    <w:rsid w:val="009C382C"/>
    <w:pPr>
      <w:spacing w:after="100"/>
      <w:ind w:left="440"/>
    </w:pPr>
  </w:style>
  <w:style w:type="character" w:customStyle="1" w:styleId="A3">
    <w:name w:val="A3"/>
    <w:uiPriority w:val="99"/>
    <w:rsid w:val="00334204"/>
    <w:rPr>
      <w:color w:val="221E1F"/>
      <w:sz w:val="20"/>
      <w:szCs w:val="20"/>
    </w:rPr>
  </w:style>
  <w:style w:type="paragraph" w:customStyle="1" w:styleId="Pa7">
    <w:name w:val="Pa7"/>
    <w:basedOn w:val="Normal"/>
    <w:next w:val="Normal"/>
    <w:uiPriority w:val="99"/>
    <w:rsid w:val="00334204"/>
    <w:pPr>
      <w:autoSpaceDE w:val="0"/>
      <w:autoSpaceDN w:val="0"/>
      <w:adjustRightInd w:val="0"/>
      <w:spacing w:after="0" w:line="201" w:lineRule="atLeast"/>
    </w:pPr>
    <w:rPr>
      <w:rFonts w:ascii="Arial" w:hAnsi="Arial" w:cs="Arial"/>
      <w:sz w:val="24"/>
      <w:szCs w:val="24"/>
    </w:rPr>
  </w:style>
  <w:style w:type="character" w:customStyle="1" w:styleId="A5">
    <w:name w:val="A5"/>
    <w:uiPriority w:val="99"/>
    <w:rsid w:val="00334204"/>
    <w:rPr>
      <w:color w:val="221E1F"/>
      <w:sz w:val="11"/>
      <w:szCs w:val="11"/>
    </w:rPr>
  </w:style>
  <w:style w:type="table" w:styleId="Tablaconcuadrcula">
    <w:name w:val="Table Grid"/>
    <w:basedOn w:val="Tablanormal"/>
    <w:uiPriority w:val="39"/>
    <w:rsid w:val="00474F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
    <w:name w:val="j"/>
    <w:basedOn w:val="Normal"/>
    <w:rsid w:val="00474F5A"/>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styleId="NormalWeb">
    <w:name w:val="Normal (Web)"/>
    <w:basedOn w:val="Normal"/>
    <w:uiPriority w:val="99"/>
    <w:unhideWhenUsed/>
    <w:rsid w:val="00474F5A"/>
    <w:pPr>
      <w:spacing w:before="100" w:beforeAutospacing="1" w:after="100" w:afterAutospacing="1" w:line="240" w:lineRule="auto"/>
    </w:pPr>
    <w:rPr>
      <w:rFonts w:ascii="Times New Roman" w:hAnsi="Times New Roman" w:cs="Times New Roman"/>
      <w:sz w:val="24"/>
      <w:szCs w:val="24"/>
      <w:lang w:val="es-ES_tradnl" w:eastAsia="es-ES_tradnl"/>
    </w:rPr>
  </w:style>
  <w:style w:type="table" w:styleId="Tablanormal1">
    <w:name w:val="Plain Table 1"/>
    <w:basedOn w:val="Tablanormal"/>
    <w:uiPriority w:val="41"/>
    <w:rsid w:val="00474F5A"/>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aragraph">
    <w:name w:val="paragraph"/>
    <w:basedOn w:val="Normal"/>
    <w:rsid w:val="00F16AB7"/>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9797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287028-E71E-42F2-B919-BC4DF1383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1974</Words>
  <Characters>10858</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2019-01-15T00:39:00Z</cp:lastPrinted>
  <dcterms:created xsi:type="dcterms:W3CDTF">2019-03-29T18:42:00Z</dcterms:created>
  <dcterms:modified xsi:type="dcterms:W3CDTF">2019-03-29T18:42:00Z</dcterms:modified>
</cp:coreProperties>
</file>